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6A8BE">
      <w:pPr>
        <w:tabs>
          <w:tab w:val="left" w:pos="1260"/>
        </w:tabs>
        <w:jc w:val="right"/>
      </w:pPr>
      <w:r>
        <w:rPr>
          <w:sz w:val="200"/>
          <w:szCs w:val="200"/>
        </w:rPr>
        <w:t>JJF</w:t>
      </w:r>
    </w:p>
    <w:p w14:paraId="65E9BDF3"/>
    <w:p w14:paraId="5AEA61F1">
      <w:pPr>
        <w:jc w:val="distribute"/>
        <w:rPr>
          <w:rFonts w:eastAsia="华文中宋"/>
          <w:b/>
          <w:bCs/>
          <w:sz w:val="52"/>
        </w:rPr>
      </w:pPr>
      <w:r>
        <w:rPr>
          <w:rFonts w:eastAsia="华文中宋"/>
          <w:b/>
          <w:bCs/>
          <w:sz w:val="52"/>
        </w:rPr>
        <w:t>中华人民共和国国家计量技术规范</w:t>
      </w:r>
    </w:p>
    <w:p w14:paraId="147878A7">
      <w:pPr>
        <w:wordWrap w:val="0"/>
        <w:jc w:val="center"/>
        <w:rPr>
          <w:rFonts w:eastAsia="黑体"/>
          <w:bCs/>
          <w:sz w:val="28"/>
        </w:rPr>
      </w:pPr>
      <w:r>
        <w:rPr>
          <w:rFonts w:eastAsia="黑体"/>
          <w:bCs/>
          <w:sz w:val="28"/>
        </w:rPr>
        <w:t xml:space="preserve">                                  JJF xxxx－202x</w:t>
      </w:r>
    </w:p>
    <w:p w14:paraId="2959B507"/>
    <w:p w14:paraId="5FCC488A">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829300" cy="635"/>
                <wp:effectExtent l="0" t="0" r="19050" b="37465"/>
                <wp:wrapNone/>
                <wp:docPr id="607" name="Line 2"/>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line">
                          <a:avLst/>
                        </a:prstGeom>
                        <a:noFill/>
                        <a:ln w="15875">
                          <a:solidFill>
                            <a:srgbClr val="000000"/>
                          </a:solidFill>
                          <a:round/>
                        </a:ln>
                      </wps:spPr>
                      <wps:bodyPr/>
                    </wps:wsp>
                  </a:graphicData>
                </a:graphic>
              </wp:anchor>
            </w:drawing>
          </mc:Choice>
          <mc:Fallback>
            <w:pict>
              <v:line id="Line 2" o:spid="_x0000_s1026" o:spt="20" style="position:absolute;left:0pt;margin-left:0pt;margin-top:0pt;height:0.05pt;width:459pt;z-index:251660288;mso-width-relative:page;mso-height-relative:page;" filled="f" stroked="t" coordsize="21600,21600" o:gfxdata="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V0bxtIAAAACAQAADwAAAAAAAAABACAAAAAiAAAAZHJzL2Rv&#10;d25yZXYueG1sUEsBAhQAFAAAAAgAh07iQJCeTh3OAQAApAMAAA4AAAAAAAAAAQAgAAAAIQEAAGRy&#10;cy9lMm9Eb2MueG1sUEsFBgAAAAAGAAYAWQEAAGEFAAAAAA==&#10;">
                <v:fill on="f" focussize="0,0"/>
                <v:stroke weight="1.25pt" color="#000000" joinstyle="round"/>
                <v:imagedata o:title=""/>
                <o:lock v:ext="edit" aspectratio="f"/>
              </v:line>
            </w:pict>
          </mc:Fallback>
        </mc:AlternateContent>
      </w:r>
    </w:p>
    <w:p w14:paraId="69A68E4D"/>
    <w:p w14:paraId="2401336B"/>
    <w:p w14:paraId="0115A593"/>
    <w:p w14:paraId="537B5FA6"/>
    <w:p w14:paraId="50D85AB6"/>
    <w:p w14:paraId="4D5BDE2F"/>
    <w:p w14:paraId="58CF2595">
      <w:pPr>
        <w:jc w:val="center"/>
        <w:rPr>
          <w:rFonts w:eastAsia="黑体"/>
          <w:sz w:val="52"/>
          <w:szCs w:val="52"/>
        </w:rPr>
      </w:pPr>
      <w:r>
        <w:rPr>
          <w:rFonts w:hint="eastAsia" w:eastAsia="黑体"/>
          <w:b/>
          <w:bCs/>
          <w:sz w:val="52"/>
          <w:szCs w:val="52"/>
        </w:rPr>
        <w:t>干法进样激光粒度分析仪</w:t>
      </w:r>
      <w:r>
        <w:rPr>
          <w:rFonts w:eastAsia="黑体"/>
          <w:b/>
          <w:bCs/>
          <w:sz w:val="52"/>
          <w:szCs w:val="52"/>
        </w:rPr>
        <w:t>校准规范</w:t>
      </w:r>
    </w:p>
    <w:p w14:paraId="2620E0FE">
      <w:pPr>
        <w:jc w:val="center"/>
        <w:rPr>
          <w:bCs/>
          <w:sz w:val="28"/>
          <w:szCs w:val="28"/>
        </w:rPr>
      </w:pPr>
      <w:r>
        <w:rPr>
          <w:sz w:val="28"/>
          <w:szCs w:val="28"/>
        </w:rPr>
        <w:t>Calibration Specification for Dry injection laser particle size analyzer</w:t>
      </w:r>
    </w:p>
    <w:p w14:paraId="6DAE5A3A">
      <w:pPr>
        <w:jc w:val="center"/>
        <w:rPr>
          <w:rFonts w:eastAsia="黑体"/>
          <w:sz w:val="52"/>
        </w:rPr>
      </w:pPr>
      <w:r>
        <w:rPr>
          <w:rFonts w:eastAsia="黑体"/>
          <w:sz w:val="52"/>
        </w:rPr>
        <w:t>（征求意见稿）</w:t>
      </w:r>
    </w:p>
    <w:p w14:paraId="3CA9395A">
      <w:pPr>
        <w:jc w:val="center"/>
        <w:rPr>
          <w:rFonts w:eastAsia="黑体"/>
          <w:sz w:val="52"/>
        </w:rPr>
      </w:pPr>
    </w:p>
    <w:p w14:paraId="2A8FAC51">
      <w:pPr>
        <w:jc w:val="center"/>
        <w:rPr>
          <w:rFonts w:eastAsia="黑体"/>
          <w:sz w:val="52"/>
        </w:rPr>
      </w:pPr>
    </w:p>
    <w:p w14:paraId="18B069E6">
      <w:pPr>
        <w:jc w:val="center"/>
        <w:rPr>
          <w:rFonts w:eastAsia="黑体"/>
          <w:sz w:val="52"/>
        </w:rPr>
      </w:pPr>
    </w:p>
    <w:p w14:paraId="5FF604D7">
      <w:pPr>
        <w:jc w:val="center"/>
        <w:rPr>
          <w:rFonts w:eastAsia="黑体"/>
          <w:sz w:val="24"/>
        </w:rPr>
      </w:pPr>
    </w:p>
    <w:p w14:paraId="6B8DAB5B">
      <w:pPr>
        <w:jc w:val="center"/>
        <w:rPr>
          <w:rFonts w:eastAsia="黑体"/>
          <w:sz w:val="52"/>
        </w:rPr>
      </w:pPr>
    </w:p>
    <w:p w14:paraId="064CA0F2">
      <w:pPr>
        <w:jc w:val="center"/>
        <w:rPr>
          <w:rFonts w:eastAsia="黑体"/>
          <w:b/>
          <w:bCs/>
          <w:sz w:val="28"/>
          <w:szCs w:val="28"/>
        </w:rPr>
      </w:pPr>
      <w:r>
        <w:rPr>
          <w:rFonts w:eastAsia="黑体"/>
          <w:sz w:val="28"/>
          <w:szCs w:val="28"/>
        </w:rPr>
        <w:t>202x－xx－xx 发布                     202x－xx－xx 实施</w:t>
      </w:r>
    </w:p>
    <w:p w14:paraId="6D26F7E6">
      <w:r>
        <mc:AlternateContent>
          <mc:Choice Requires="wps">
            <w:drawing>
              <wp:anchor distT="0" distB="0" distL="114300" distR="114300" simplePos="0" relativeHeight="251661312" behindDoc="0" locked="0" layoutInCell="1" allowOverlap="1">
                <wp:simplePos x="0" y="0"/>
                <wp:positionH relativeFrom="column">
                  <wp:posOffset>-112395</wp:posOffset>
                </wp:positionH>
                <wp:positionV relativeFrom="paragraph">
                  <wp:posOffset>99060</wp:posOffset>
                </wp:positionV>
                <wp:extent cx="5827395" cy="635"/>
                <wp:effectExtent l="0" t="0" r="20955" b="37465"/>
                <wp:wrapNone/>
                <wp:docPr id="606" name="Line 3"/>
                <wp:cNvGraphicFramePr/>
                <a:graphic xmlns:a="http://schemas.openxmlformats.org/drawingml/2006/main">
                  <a:graphicData uri="http://schemas.microsoft.com/office/word/2010/wordprocessingShape">
                    <wps:wsp>
                      <wps:cNvCnPr>
                        <a:cxnSpLocks noChangeShapeType="1"/>
                      </wps:cNvCnPr>
                      <wps:spPr bwMode="auto">
                        <a:xfrm>
                          <a:off x="0" y="0"/>
                          <a:ext cx="5827395" cy="635"/>
                        </a:xfrm>
                        <a:prstGeom prst="line">
                          <a:avLst/>
                        </a:prstGeom>
                        <a:noFill/>
                        <a:ln w="15875">
                          <a:solidFill>
                            <a:srgbClr val="000000"/>
                          </a:solidFill>
                          <a:round/>
                        </a:ln>
                      </wps:spPr>
                      <wps:bodyPr/>
                    </wps:wsp>
                  </a:graphicData>
                </a:graphic>
              </wp:anchor>
            </w:drawing>
          </mc:Choice>
          <mc:Fallback>
            <w:pict>
              <v:line id="Line 3" o:spid="_x0000_s1026" o:spt="20" style="position:absolute;left:0pt;margin-left:-8.85pt;margin-top:7.8pt;height:0.05pt;width:458.85pt;z-index:251661312;mso-width-relative:page;mso-height-relative:page;" filled="f" stroked="t" coordsize="21600,21600" o:gfxdata="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&#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9t2fn1wAAAAkBAAAPAAAAAAAAAAEAIAAAACIAAABk&#10;cnMvZG93bnJldi54bWxQSwECFAAUAAAACACHTuJA2W9iCc4BAACkAwAADgAAAAAAAAABACAAAAAm&#10;AQAAZHJzL2Uyb0RvYy54bWxQSwUGAAAAAAYABgBZAQAAZgUAAAAA&#10;">
                <v:fill on="f" focussize="0,0"/>
                <v:stroke weight="1.25pt" color="#000000" joinstyle="round"/>
                <v:imagedata o:title=""/>
                <o:lock v:ext="edit" aspectratio="f"/>
              </v:line>
            </w:pict>
          </mc:Fallback>
        </mc:AlternateContent>
      </w:r>
    </w:p>
    <w:p w14:paraId="18725FF4">
      <w:pPr>
        <w:jc w:val="center"/>
        <w:rPr>
          <w:rFonts w:eastAsia="黑体"/>
          <w:spacing w:val="16"/>
          <w:sz w:val="44"/>
        </w:rPr>
      </w:pPr>
      <w:r>
        <w:rPr>
          <w:rFonts w:eastAsia="华文中宋"/>
          <w:b/>
          <w:bCs/>
          <w:spacing w:val="16"/>
          <w:sz w:val="44"/>
          <w:szCs w:val="44"/>
        </w:rPr>
        <w:t>国家市场监督管理总局</w:t>
      </w:r>
      <w:r>
        <w:rPr>
          <w:rFonts w:eastAsia="黑体"/>
          <w:spacing w:val="16"/>
          <w:sz w:val="28"/>
        </w:rPr>
        <w:t>发布</w:t>
      </w:r>
    </w:p>
    <w:p w14:paraId="3D7180E8">
      <w:pPr>
        <w:spacing w:line="240" w:lineRule="atLeast"/>
        <w:ind w:firstLine="440" w:firstLineChars="100"/>
        <w:rPr>
          <w:rFonts w:eastAsia="黑体"/>
          <w:sz w:val="44"/>
        </w:rPr>
        <w:sectPr>
          <w:headerReference r:id="rId3" w:type="default"/>
          <w:footerReference r:id="rId4" w:type="default"/>
          <w:footerReference r:id="rId5" w:type="even"/>
          <w:pgSz w:w="11906" w:h="16838"/>
          <w:pgMar w:top="1440" w:right="1418" w:bottom="1440" w:left="1418" w:header="1134" w:footer="850" w:gutter="0"/>
          <w:pgNumType w:start="1"/>
          <w:cols w:space="720" w:num="1"/>
          <w:titlePg/>
          <w:docGrid w:type="linesAndChars" w:linePitch="312" w:charSpace="0"/>
        </w:sectPr>
      </w:pPr>
    </w:p>
    <w:p w14:paraId="11265B3E">
      <w:pPr>
        <w:spacing w:line="240" w:lineRule="atLeast"/>
        <w:rPr>
          <w:rFonts w:eastAsia="黑体"/>
          <w:sz w:val="44"/>
        </w:rPr>
      </w:pPr>
      <w:r>
        <w:rPr>
          <w:rFonts w:eastAsia="黑体"/>
          <w:sz w:val="44"/>
          <w:szCs w:val="44"/>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-768985</wp:posOffset>
                </wp:positionV>
                <wp:extent cx="1417955" cy="1425575"/>
                <wp:effectExtent l="0" t="0" r="10795" b="22225"/>
                <wp:wrapNone/>
                <wp:docPr id="4" name="文本框 16"/>
                <wp:cNvGraphicFramePr/>
                <a:graphic xmlns:a="http://schemas.openxmlformats.org/drawingml/2006/main">
                  <a:graphicData uri="http://schemas.microsoft.com/office/word/2010/wordprocessingShape">
                    <wps:wsp>
                      <wps:cNvSpPr txBox="1"/>
                      <wps:spPr>
                        <a:xfrm>
                          <a:off x="0" y="0"/>
                          <a:ext cx="1417955" cy="1425575"/>
                        </a:xfrm>
                        <a:prstGeom prst="rect">
                          <a:avLst/>
                        </a:prstGeom>
                        <a:solidFill>
                          <a:srgbClr val="FFFFFF"/>
                        </a:solidFill>
                        <a:ln w="9525" cap="rnd" cmpd="sng">
                          <a:solidFill>
                            <a:srgbClr val="000000"/>
                          </a:solidFill>
                          <a:prstDash val="sysDot"/>
                          <a:miter/>
                          <a:headEnd type="none" w="med" len="med"/>
                          <a:tailEnd type="none" w="med" len="med"/>
                        </a:ln>
                      </wps:spPr>
                      <wps:txbx>
                        <w:txbxContent>
                          <w:p w14:paraId="1BDDA218"/>
                          <w:p w14:paraId="18C128EE">
                            <w:pPr>
                              <w:jc w:val="center"/>
                              <w:rPr>
                                <w:rFonts w:ascii="黑体" w:hAnsi="黑体" w:eastAsia="黑体"/>
                                <w:b/>
                                <w:sz w:val="28"/>
                                <w:szCs w:val="28"/>
                              </w:rPr>
                            </w:pPr>
                            <w:r>
                              <w:rPr>
                                <w:rFonts w:hint="eastAsia" w:ascii="黑体" w:hAnsi="黑体" w:eastAsia="黑体"/>
                                <w:b/>
                                <w:sz w:val="28"/>
                                <w:szCs w:val="28"/>
                              </w:rPr>
                              <w:t>JJF ××××</w:t>
                            </w:r>
                            <w:r>
                              <w:rPr>
                                <w:rFonts w:ascii="黑体" w:hAnsi="黑体" w:eastAsia="黑体" w:cs="黑体"/>
                                <w:kern w:val="0"/>
                                <w:sz w:val="28"/>
                                <w:szCs w:val="28"/>
                              </w:rPr>
                              <w:t>─</w:t>
                            </w:r>
                            <w:r>
                              <w:rPr>
                                <w:rFonts w:hint="eastAsia" w:ascii="黑体" w:hAnsi="黑体" w:eastAsia="黑体"/>
                                <w:b/>
                                <w:sz w:val="28"/>
                                <w:szCs w:val="28"/>
                              </w:rPr>
                              <w:t>××××</w:t>
                            </w:r>
                          </w:p>
                        </w:txbxContent>
                      </wps:txbx>
                      <wps:bodyPr wrap="square" upright="1">
                        <a:noAutofit/>
                      </wps:bodyPr>
                    </wps:wsp>
                  </a:graphicData>
                </a:graphic>
              </wp:anchor>
            </w:drawing>
          </mc:Choice>
          <mc:Fallback>
            <w:pict>
              <v:shape id="文本框 16" o:spid="_x0000_s1026" o:spt="202" type="#_x0000_t202" style="position:absolute;left:0pt;margin-left:378pt;margin-top:-60.55pt;height:112.25pt;width:111.65pt;z-index:251662336;mso-width-relative:page;mso-height-relative:page;" fillcolor="#FFFFFF" filled="t" stroked="t" coordsize="21600,21600" o:gfxdata="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uf5An3AAAAAwBAAAPAAAAAAAAAAEAIAAAACIAAABkcnMvZG93bnJldi54bWxQSwECFAAUAAAA&#10;CACHTuJAla677yMCAABgBAAADgAAAAAAAAABACAAAAArAQAAZHJzL2Uyb0RvYy54bWxQSwUGAAAA&#10;AAYABgBZAQAAwAUAAAAA&#10;">
                <v:fill on="t" focussize="0,0"/>
                <v:stroke color="#000000" joinstyle="miter" dashstyle="1 1" endcap="round"/>
                <v:imagedata o:title=""/>
                <o:lock v:ext="edit" aspectratio="f"/>
                <v:textbox>
                  <w:txbxContent>
                    <w:p w14:paraId="1BDDA218"/>
                    <w:p w14:paraId="18C128EE">
                      <w:pPr>
                        <w:jc w:val="center"/>
                        <w:rPr>
                          <w:rFonts w:ascii="黑体" w:hAnsi="黑体" w:eastAsia="黑体"/>
                          <w:b/>
                          <w:sz w:val="28"/>
                          <w:szCs w:val="28"/>
                        </w:rPr>
                      </w:pPr>
                      <w:r>
                        <w:rPr>
                          <w:rFonts w:hint="eastAsia" w:ascii="黑体" w:hAnsi="黑体" w:eastAsia="黑体"/>
                          <w:b/>
                          <w:sz w:val="28"/>
                          <w:szCs w:val="28"/>
                        </w:rPr>
                        <w:t>JJF ××××</w:t>
                      </w:r>
                      <w:r>
                        <w:rPr>
                          <w:rFonts w:ascii="黑体" w:hAnsi="黑体" w:eastAsia="黑体" w:cs="黑体"/>
                          <w:kern w:val="0"/>
                          <w:sz w:val="28"/>
                          <w:szCs w:val="28"/>
                        </w:rPr>
                        <w:t>─</w:t>
                      </w:r>
                      <w:r>
                        <w:rPr>
                          <w:rFonts w:hint="eastAsia" w:ascii="黑体" w:hAnsi="黑体" w:eastAsia="黑体"/>
                          <w:b/>
                          <w:sz w:val="28"/>
                          <w:szCs w:val="28"/>
                        </w:rPr>
                        <w:t>××××</w:t>
                      </w:r>
                    </w:p>
                  </w:txbxContent>
                </v:textbox>
              </v:shape>
            </w:pict>
          </mc:Fallback>
        </mc:AlternateContent>
      </w:r>
    </w:p>
    <w:p w14:paraId="15A3A90C">
      <w:pPr>
        <w:spacing w:line="240" w:lineRule="atLeast"/>
        <w:jc w:val="left"/>
        <w:rPr>
          <w:rFonts w:eastAsia="黑体"/>
          <w:sz w:val="44"/>
          <w:szCs w:val="44"/>
        </w:rPr>
      </w:pPr>
      <w:r>
        <w:rPr>
          <w:rFonts w:hint="eastAsia" w:eastAsia="黑体"/>
          <w:sz w:val="44"/>
          <w:szCs w:val="44"/>
        </w:rPr>
        <w:t>干法进样激光粒度分析仪</w:t>
      </w:r>
      <w:r>
        <w:rPr>
          <w:rFonts w:eastAsia="黑体"/>
          <w:sz w:val="44"/>
          <w:szCs w:val="44"/>
        </w:rPr>
        <w:t>校准规范</w:t>
      </w:r>
    </w:p>
    <w:p w14:paraId="73F389B0">
      <w:pPr>
        <w:jc w:val="left"/>
        <w:rPr>
          <w:sz w:val="32"/>
        </w:rPr>
      </w:pPr>
      <w:r>
        <w:rPr>
          <w:sz w:val="28"/>
          <w:szCs w:val="28"/>
        </w:rPr>
        <w:t>Calibration Specification for Dry injection laser particle size analyzer</w:t>
      </w:r>
    </w:p>
    <w:p w14:paraId="74048D8A">
      <w:pPr>
        <w:tabs>
          <w:tab w:val="left" w:pos="360"/>
        </w:tabs>
        <w:rPr>
          <w:rFonts w:eastAsia="黑体"/>
          <w:spacing w:val="80"/>
          <w:kern w:val="10"/>
          <w:sz w:val="28"/>
          <w:szCs w:val="28"/>
        </w:rPr>
      </w:pPr>
      <w:r>
        <mc:AlternateContent>
          <mc:Choice Requires="wps">
            <w:drawing>
              <wp:anchor distT="0" distB="0" distL="114300" distR="114300" simplePos="0" relativeHeight="251659264" behindDoc="0" locked="0" layoutInCell="1" allowOverlap="1">
                <wp:simplePos x="0" y="0"/>
                <wp:positionH relativeFrom="column">
                  <wp:posOffset>14605</wp:posOffset>
                </wp:positionH>
                <wp:positionV relativeFrom="page">
                  <wp:posOffset>2828290</wp:posOffset>
                </wp:positionV>
                <wp:extent cx="5800090" cy="0"/>
                <wp:effectExtent l="0" t="0" r="10160" b="19050"/>
                <wp:wrapNone/>
                <wp:docPr id="605" name="Line 4"/>
                <wp:cNvGraphicFramePr/>
                <a:graphic xmlns:a="http://schemas.openxmlformats.org/drawingml/2006/main">
                  <a:graphicData uri="http://schemas.microsoft.com/office/word/2010/wordprocessingShape">
                    <wps:wsp>
                      <wps:cNvCnPr>
                        <a:cxnSpLocks noChangeShapeType="1"/>
                      </wps:cNvCnPr>
                      <wps:spPr bwMode="auto">
                        <a:xfrm>
                          <a:off x="0" y="0"/>
                          <a:ext cx="5800090" cy="0"/>
                        </a:xfrm>
                        <a:prstGeom prst="line">
                          <a:avLst/>
                        </a:prstGeom>
                        <a:noFill/>
                        <a:ln w="19050">
                          <a:solidFill>
                            <a:srgbClr val="000000"/>
                          </a:solidFill>
                          <a:round/>
                        </a:ln>
                      </wps:spPr>
                      <wps:bodyPr/>
                    </wps:wsp>
                  </a:graphicData>
                </a:graphic>
              </wp:anchor>
            </w:drawing>
          </mc:Choice>
          <mc:Fallback>
            <w:pict>
              <v:line id="Line 4" o:spid="_x0000_s1026" o:spt="20" style="position:absolute;left:0pt;margin-left:1.15pt;margin-top:222.7pt;height:0pt;width:456.7pt;mso-position-vertical-relative:page;z-index:251659264;mso-width-relative:page;mso-height-relative:page;" filled="f" stroked="t" coordsize="21600,21600" o:gfxdata="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GnkhjWAAAACQEAAA8AAAAAAAAAAQAgAAAAIgAAAGRycy9k&#10;b3ducmV2LnhtbFBLAQIUABQAAAAIAIdO4kAperalywEAAKIDAAAOAAAAAAAAAAEAIAAAACUBAABk&#10;cnMvZTJvRG9jLnhtbFBLBQYAAAAABgAGAFkBAABiBQAAAAA=&#10;">
                <v:fill on="f" focussize="0,0"/>
                <v:stroke weight="1.5pt" color="#000000" joinstyle="round"/>
                <v:imagedata o:title=""/>
                <o:lock v:ext="edit" aspectratio="f"/>
              </v:line>
            </w:pict>
          </mc:Fallback>
        </mc:AlternateContent>
      </w:r>
    </w:p>
    <w:p w14:paraId="2B765394">
      <w:pPr>
        <w:tabs>
          <w:tab w:val="left" w:pos="360"/>
        </w:tabs>
        <w:rPr>
          <w:rFonts w:eastAsia="黑体"/>
          <w:spacing w:val="80"/>
          <w:kern w:val="10"/>
          <w:sz w:val="28"/>
          <w:szCs w:val="28"/>
        </w:rPr>
      </w:pPr>
    </w:p>
    <w:p w14:paraId="7858AD76">
      <w:pPr>
        <w:tabs>
          <w:tab w:val="left" w:pos="360"/>
        </w:tabs>
        <w:rPr>
          <w:rFonts w:eastAsia="黑体"/>
          <w:spacing w:val="80"/>
          <w:kern w:val="10"/>
          <w:sz w:val="28"/>
          <w:szCs w:val="28"/>
        </w:rPr>
      </w:pPr>
    </w:p>
    <w:p w14:paraId="469E0F03">
      <w:pPr>
        <w:tabs>
          <w:tab w:val="left" w:pos="360"/>
        </w:tabs>
        <w:rPr>
          <w:rFonts w:eastAsia="黑体"/>
          <w:spacing w:val="80"/>
          <w:kern w:val="10"/>
          <w:sz w:val="28"/>
          <w:szCs w:val="28"/>
        </w:rPr>
      </w:pPr>
    </w:p>
    <w:p w14:paraId="42895794">
      <w:pPr>
        <w:tabs>
          <w:tab w:val="left" w:pos="360"/>
        </w:tabs>
        <w:rPr>
          <w:sz w:val="32"/>
        </w:rPr>
      </w:pPr>
      <w:r>
        <w:rPr>
          <w:rFonts w:eastAsia="黑体"/>
          <w:kern w:val="4"/>
          <w:sz w:val="28"/>
          <w:szCs w:val="28"/>
        </w:rPr>
        <w:t xml:space="preserve">    </w:t>
      </w:r>
      <w:r>
        <w:rPr>
          <w:rFonts w:eastAsia="黑体"/>
          <w:spacing w:val="86"/>
          <w:kern w:val="4"/>
          <w:sz w:val="28"/>
          <w:szCs w:val="28"/>
        </w:rPr>
        <w:t>归口单</w:t>
      </w:r>
      <w:r>
        <w:rPr>
          <w:rFonts w:eastAsia="黑体"/>
          <w:kern w:val="4"/>
          <w:sz w:val="28"/>
          <w:szCs w:val="28"/>
        </w:rPr>
        <w:t>位：</w:t>
      </w:r>
      <w:r>
        <w:rPr>
          <w:sz w:val="28"/>
          <w:szCs w:val="28"/>
        </w:rPr>
        <w:t>全国新材料与纳米计量技术委员会</w:t>
      </w:r>
    </w:p>
    <w:p w14:paraId="79ACA312">
      <w:pPr>
        <w:tabs>
          <w:tab w:val="left" w:pos="360"/>
        </w:tabs>
        <w:ind w:firstLine="560" w:firstLineChars="200"/>
        <w:rPr>
          <w:sz w:val="28"/>
          <w:szCs w:val="28"/>
        </w:rPr>
      </w:pPr>
      <w:r>
        <w:rPr>
          <w:rFonts w:eastAsia="黑体"/>
          <w:sz w:val="28"/>
          <w:szCs w:val="28"/>
        </w:rPr>
        <w:t>主要起草单位：</w:t>
      </w:r>
      <w:bookmarkStart w:id="34" w:name="_GoBack"/>
      <w:bookmarkEnd w:id="34"/>
    </w:p>
    <w:p w14:paraId="21D7004E">
      <w:pPr>
        <w:tabs>
          <w:tab w:val="left" w:pos="360"/>
        </w:tabs>
        <w:ind w:firstLine="2520" w:firstLineChars="900"/>
        <w:rPr>
          <w:sz w:val="28"/>
          <w:szCs w:val="28"/>
        </w:rPr>
      </w:pPr>
    </w:p>
    <w:p w14:paraId="471E846E">
      <w:pPr>
        <w:tabs>
          <w:tab w:val="left" w:pos="360"/>
        </w:tabs>
        <w:ind w:firstLine="560" w:firstLineChars="200"/>
        <w:rPr>
          <w:sz w:val="28"/>
          <w:szCs w:val="28"/>
        </w:rPr>
      </w:pPr>
      <w:r>
        <w:rPr>
          <w:rFonts w:eastAsia="黑体"/>
          <w:sz w:val="28"/>
          <w:szCs w:val="28"/>
        </w:rPr>
        <w:t>参加起草单位：</w:t>
      </w:r>
    </w:p>
    <w:p w14:paraId="0D349A74">
      <w:pPr>
        <w:rPr>
          <w:sz w:val="32"/>
        </w:rPr>
      </w:pPr>
    </w:p>
    <w:p w14:paraId="3814A5A6">
      <w:pPr>
        <w:rPr>
          <w:sz w:val="32"/>
        </w:rPr>
      </w:pPr>
    </w:p>
    <w:p w14:paraId="3921899D">
      <w:pPr>
        <w:rPr>
          <w:sz w:val="32"/>
        </w:rPr>
      </w:pPr>
    </w:p>
    <w:p w14:paraId="6F20574D">
      <w:pPr>
        <w:rPr>
          <w:sz w:val="32"/>
        </w:rPr>
      </w:pPr>
    </w:p>
    <w:p w14:paraId="7240B6CE">
      <w:pPr>
        <w:rPr>
          <w:sz w:val="32"/>
        </w:rPr>
      </w:pPr>
    </w:p>
    <w:p w14:paraId="35549A2A">
      <w:pPr>
        <w:rPr>
          <w:sz w:val="32"/>
        </w:rPr>
      </w:pPr>
    </w:p>
    <w:p w14:paraId="7646BEE9">
      <w:pPr>
        <w:rPr>
          <w:sz w:val="32"/>
        </w:rPr>
      </w:pPr>
    </w:p>
    <w:p w14:paraId="571A6CB1">
      <w:pPr>
        <w:rPr>
          <w:sz w:val="32"/>
        </w:rPr>
      </w:pPr>
    </w:p>
    <w:p w14:paraId="38F7B856">
      <w:pPr>
        <w:ind w:firstLine="560" w:firstLineChars="200"/>
        <w:rPr>
          <w:sz w:val="28"/>
          <w:szCs w:val="28"/>
        </w:rPr>
      </w:pPr>
      <w:r>
        <w:rPr>
          <w:sz w:val="28"/>
          <w:szCs w:val="28"/>
        </w:rPr>
        <w:t>本规范委托全国新材料与纳米计量技术委员会负责解释</w:t>
      </w:r>
    </w:p>
    <w:p w14:paraId="3BD33A5E">
      <w:pPr>
        <w:tabs>
          <w:tab w:val="left" w:pos="3240"/>
        </w:tabs>
        <w:ind w:firstLine="640" w:firstLineChars="200"/>
        <w:jc w:val="center"/>
        <w:rPr>
          <w:sz w:val="32"/>
        </w:rPr>
        <w:sectPr>
          <w:pgSz w:w="11906" w:h="16838"/>
          <w:pgMar w:top="1440" w:right="1418" w:bottom="1440" w:left="1418" w:header="850" w:footer="992" w:gutter="0"/>
          <w:pgNumType w:start="1"/>
          <w:cols w:space="720" w:num="1"/>
          <w:titlePg/>
          <w:docGrid w:type="linesAndChars" w:linePitch="312" w:charSpace="0"/>
        </w:sectPr>
      </w:pPr>
    </w:p>
    <w:p w14:paraId="210E8631">
      <w:pPr>
        <w:ind w:firstLine="560" w:firstLineChars="200"/>
        <w:rPr>
          <w:rFonts w:eastAsia="黑体"/>
          <w:sz w:val="28"/>
          <w:szCs w:val="28"/>
        </w:rPr>
      </w:pPr>
    </w:p>
    <w:p w14:paraId="75BBC9A9">
      <w:pPr>
        <w:ind w:firstLine="560" w:firstLineChars="200"/>
        <w:rPr>
          <w:rFonts w:eastAsia="黑体"/>
          <w:sz w:val="28"/>
          <w:szCs w:val="28"/>
        </w:rPr>
      </w:pPr>
    </w:p>
    <w:p w14:paraId="15DB5636">
      <w:pPr>
        <w:ind w:firstLine="560" w:firstLineChars="200"/>
        <w:rPr>
          <w:rFonts w:eastAsia="黑体"/>
          <w:sz w:val="28"/>
          <w:szCs w:val="28"/>
        </w:rPr>
      </w:pPr>
      <w:r>
        <w:rPr>
          <w:rFonts w:eastAsia="黑体"/>
          <w:sz w:val="28"/>
          <w:szCs w:val="28"/>
        </w:rPr>
        <w:t>本规范主要起草人：</w:t>
      </w:r>
    </w:p>
    <w:p w14:paraId="789089A7">
      <w:pPr>
        <w:ind w:firstLine="1960" w:firstLineChars="700"/>
        <w:rPr>
          <w:sz w:val="28"/>
          <w:szCs w:val="28"/>
        </w:rPr>
      </w:pPr>
    </w:p>
    <w:p w14:paraId="3731F1A3">
      <w:pPr>
        <w:ind w:firstLine="1960" w:firstLineChars="700"/>
        <w:rPr>
          <w:sz w:val="28"/>
          <w:szCs w:val="28"/>
        </w:rPr>
      </w:pPr>
    </w:p>
    <w:p w14:paraId="62C9076D">
      <w:pPr>
        <w:ind w:firstLine="1400" w:firstLineChars="500"/>
        <w:rPr>
          <w:sz w:val="28"/>
          <w:szCs w:val="28"/>
        </w:rPr>
      </w:pPr>
    </w:p>
    <w:p w14:paraId="239E420E">
      <w:pPr>
        <w:ind w:firstLine="1400" w:firstLineChars="500"/>
        <w:rPr>
          <w:sz w:val="28"/>
          <w:szCs w:val="28"/>
        </w:rPr>
      </w:pPr>
      <w:r>
        <w:rPr>
          <w:rFonts w:eastAsia="黑体"/>
          <w:sz w:val="28"/>
          <w:szCs w:val="28"/>
        </w:rPr>
        <w:t>参加起草人：</w:t>
      </w:r>
    </w:p>
    <w:p w14:paraId="794D3B86">
      <w:pPr>
        <w:ind w:firstLine="1960" w:firstLineChars="700"/>
        <w:rPr>
          <w:sz w:val="28"/>
          <w:szCs w:val="28"/>
        </w:rPr>
      </w:pPr>
    </w:p>
    <w:p w14:paraId="1FCE0B06">
      <w:pPr>
        <w:ind w:firstLine="1960" w:firstLineChars="700"/>
        <w:rPr>
          <w:sz w:val="28"/>
          <w:szCs w:val="28"/>
        </w:rPr>
      </w:pPr>
    </w:p>
    <w:p w14:paraId="2C261326">
      <w:pPr>
        <w:ind w:firstLine="1960" w:firstLineChars="700"/>
        <w:rPr>
          <w:sz w:val="28"/>
          <w:szCs w:val="28"/>
        </w:rPr>
      </w:pPr>
    </w:p>
    <w:p w14:paraId="4D466662">
      <w:pPr>
        <w:pStyle w:val="34"/>
        <w:tabs>
          <w:tab w:val="left" w:pos="2160"/>
        </w:tabs>
        <w:spacing w:after="0"/>
        <w:rPr>
          <w:sz w:val="28"/>
          <w:szCs w:val="28"/>
        </w:rPr>
      </w:pPr>
    </w:p>
    <w:p w14:paraId="53C0A857">
      <w:pPr>
        <w:pStyle w:val="34"/>
        <w:tabs>
          <w:tab w:val="left" w:pos="2160"/>
        </w:tabs>
        <w:spacing w:after="0"/>
        <w:rPr>
          <w:sz w:val="28"/>
          <w:szCs w:val="28"/>
        </w:rPr>
      </w:pPr>
    </w:p>
    <w:p w14:paraId="08EA7F72">
      <w:pPr>
        <w:jc w:val="left"/>
        <w:rPr>
          <w:b/>
          <w:bCs/>
          <w:sz w:val="32"/>
        </w:rPr>
        <w:sectPr>
          <w:pgSz w:w="11906" w:h="16838"/>
          <w:pgMar w:top="1440" w:right="1418" w:bottom="1440" w:left="1418" w:header="1134" w:footer="850" w:gutter="0"/>
          <w:pgNumType w:start="1"/>
          <w:cols w:space="720" w:num="1"/>
          <w:titlePg/>
          <w:docGrid w:type="linesAndChars" w:linePitch="312" w:charSpace="0"/>
        </w:sectPr>
      </w:pPr>
    </w:p>
    <w:p w14:paraId="70773D55">
      <w:pPr>
        <w:pageBreakBefore/>
        <w:spacing w:line="324" w:lineRule="auto"/>
        <w:jc w:val="center"/>
        <w:rPr>
          <w:rFonts w:eastAsia="黑体"/>
          <w:bCs/>
          <w:sz w:val="44"/>
          <w:szCs w:val="44"/>
        </w:rPr>
      </w:pPr>
      <w:r>
        <w:rPr>
          <w:rFonts w:eastAsia="黑体"/>
          <w:bCs/>
          <w:sz w:val="44"/>
          <w:szCs w:val="44"/>
        </w:rPr>
        <w:t>目    录</w:t>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p>
    <w:p w14:paraId="0AB7C499">
      <w:pPr>
        <w:pStyle w:val="59"/>
        <w:tabs>
          <w:tab w:val="right" w:leader="dot" w:pos="9070"/>
        </w:tabs>
        <w:spacing w:line="360" w:lineRule="auto"/>
        <w:rPr>
          <w:sz w:val="24"/>
        </w:rPr>
      </w:pPr>
      <w:r>
        <w:rPr>
          <w:sz w:val="24"/>
        </w:rPr>
        <w:t>引言</w:t>
      </w:r>
      <w:r>
        <w:rPr>
          <w:sz w:val="24"/>
        </w:rPr>
        <w:tab/>
      </w:r>
      <w:r>
        <w:rPr>
          <w:sz w:val="24"/>
        </w:rPr>
        <w:t>（II）</w:t>
      </w:r>
    </w:p>
    <w:p w14:paraId="2708B5CE">
      <w:pPr>
        <w:pStyle w:val="74"/>
        <w:tabs>
          <w:tab w:val="right" w:leader="dot" w:pos="9070"/>
        </w:tabs>
        <w:spacing w:line="360" w:lineRule="auto"/>
        <w:ind w:left="0" w:leftChars="0"/>
        <w:rPr>
          <w:sz w:val="24"/>
        </w:rPr>
      </w:pPr>
      <w:r>
        <w:rPr>
          <w:sz w:val="24"/>
          <w:lang w:val="zh-CN"/>
        </w:rPr>
        <w:t>1 范围</w:t>
      </w:r>
      <w:r>
        <w:rPr>
          <w:sz w:val="24"/>
        </w:rPr>
        <w:tab/>
      </w:r>
      <w:r>
        <w:rPr>
          <w:sz w:val="24"/>
        </w:rPr>
        <w:t>（</w:t>
      </w:r>
      <w:r>
        <w:rPr>
          <w:sz w:val="24"/>
        </w:rPr>
        <w:fldChar w:fldCharType="begin"/>
      </w:r>
      <w:r>
        <w:rPr>
          <w:sz w:val="24"/>
        </w:rPr>
        <w:instrText xml:space="preserve"> PAGEREF _Toc1279 </w:instrText>
      </w:r>
      <w:r>
        <w:rPr>
          <w:sz w:val="24"/>
        </w:rPr>
        <w:fldChar w:fldCharType="separate"/>
      </w:r>
      <w:r>
        <w:rPr>
          <w:sz w:val="24"/>
        </w:rPr>
        <w:t>1</w:t>
      </w:r>
      <w:r>
        <w:rPr>
          <w:sz w:val="24"/>
        </w:rPr>
        <w:fldChar w:fldCharType="end"/>
      </w:r>
      <w:r>
        <w:rPr>
          <w:sz w:val="24"/>
        </w:rPr>
        <w:t>）</w:t>
      </w:r>
    </w:p>
    <w:p w14:paraId="720DC709">
      <w:pPr>
        <w:pStyle w:val="74"/>
        <w:tabs>
          <w:tab w:val="right" w:leader="dot" w:pos="9070"/>
        </w:tabs>
        <w:spacing w:line="360" w:lineRule="auto"/>
        <w:ind w:left="0" w:leftChars="0"/>
        <w:rPr>
          <w:sz w:val="24"/>
        </w:rPr>
      </w:pPr>
      <w:r>
        <w:rPr>
          <w:sz w:val="24"/>
          <w:lang w:val="zh-CN"/>
        </w:rPr>
        <w:t xml:space="preserve">2 </w:t>
      </w:r>
      <w:r>
        <w:rPr>
          <w:sz w:val="24"/>
        </w:rPr>
        <w:t>引用</w:t>
      </w:r>
      <w:r>
        <w:rPr>
          <w:sz w:val="24"/>
          <w:lang w:val="zh-CN"/>
        </w:rPr>
        <w:t>文件</w:t>
      </w:r>
      <w:r>
        <w:rPr>
          <w:sz w:val="24"/>
        </w:rPr>
        <w:tab/>
      </w:r>
      <w:r>
        <w:rPr>
          <w:sz w:val="24"/>
        </w:rPr>
        <w:t>（</w:t>
      </w:r>
      <w:r>
        <w:rPr>
          <w:sz w:val="24"/>
        </w:rPr>
        <w:fldChar w:fldCharType="begin"/>
      </w:r>
      <w:r>
        <w:rPr>
          <w:sz w:val="24"/>
        </w:rPr>
        <w:instrText xml:space="preserve"> PAGEREF _Toc26134 </w:instrText>
      </w:r>
      <w:r>
        <w:rPr>
          <w:sz w:val="24"/>
        </w:rPr>
        <w:fldChar w:fldCharType="separate"/>
      </w:r>
      <w:r>
        <w:rPr>
          <w:sz w:val="24"/>
        </w:rPr>
        <w:t>1</w:t>
      </w:r>
      <w:r>
        <w:rPr>
          <w:sz w:val="24"/>
        </w:rPr>
        <w:fldChar w:fldCharType="end"/>
      </w:r>
      <w:r>
        <w:rPr>
          <w:sz w:val="24"/>
        </w:rPr>
        <w:t>）</w:t>
      </w:r>
    </w:p>
    <w:p w14:paraId="54CE40F7">
      <w:pPr>
        <w:pStyle w:val="74"/>
        <w:tabs>
          <w:tab w:val="right" w:leader="dot" w:pos="9070"/>
        </w:tabs>
        <w:spacing w:line="360" w:lineRule="auto"/>
        <w:ind w:left="0" w:leftChars="0"/>
        <w:rPr>
          <w:sz w:val="24"/>
        </w:rPr>
      </w:pPr>
      <w:r>
        <w:rPr>
          <w:sz w:val="24"/>
          <w:lang w:val="zh-CN"/>
        </w:rPr>
        <w:t>3 术语和计量单位</w:t>
      </w:r>
      <w:r>
        <w:rPr>
          <w:sz w:val="24"/>
        </w:rPr>
        <w:tab/>
      </w:r>
      <w:r>
        <w:rPr>
          <w:sz w:val="24"/>
        </w:rPr>
        <w:t>（</w:t>
      </w:r>
      <w:r>
        <w:rPr>
          <w:sz w:val="24"/>
        </w:rPr>
        <w:fldChar w:fldCharType="begin"/>
      </w:r>
      <w:r>
        <w:rPr>
          <w:sz w:val="24"/>
        </w:rPr>
        <w:instrText xml:space="preserve"> PAGEREF _Toc8459 </w:instrText>
      </w:r>
      <w:r>
        <w:rPr>
          <w:sz w:val="24"/>
        </w:rPr>
        <w:fldChar w:fldCharType="separate"/>
      </w:r>
      <w:r>
        <w:rPr>
          <w:sz w:val="24"/>
        </w:rPr>
        <w:t>1</w:t>
      </w:r>
      <w:r>
        <w:rPr>
          <w:sz w:val="24"/>
        </w:rPr>
        <w:fldChar w:fldCharType="end"/>
      </w:r>
      <w:r>
        <w:rPr>
          <w:sz w:val="24"/>
        </w:rPr>
        <w:t>）</w:t>
      </w:r>
    </w:p>
    <w:p w14:paraId="2F217EB7">
      <w:pPr>
        <w:pStyle w:val="68"/>
        <w:tabs>
          <w:tab w:val="right" w:leader="dot" w:pos="9070"/>
        </w:tabs>
        <w:spacing w:line="360" w:lineRule="auto"/>
        <w:ind w:left="0" w:leftChars="0"/>
        <w:rPr>
          <w:sz w:val="24"/>
        </w:rPr>
      </w:pPr>
      <w:r>
        <w:rPr>
          <w:sz w:val="24"/>
          <w:lang w:val="zh-CN"/>
        </w:rPr>
        <w:t>4 概述</w:t>
      </w:r>
      <w:r>
        <w:rPr>
          <w:sz w:val="24"/>
        </w:rPr>
        <w:tab/>
      </w:r>
      <w:r>
        <w:rPr>
          <w:sz w:val="24"/>
        </w:rPr>
        <w:t>（1）</w:t>
      </w:r>
    </w:p>
    <w:p w14:paraId="7B9104AC">
      <w:pPr>
        <w:pStyle w:val="68"/>
        <w:tabs>
          <w:tab w:val="right" w:leader="dot" w:pos="9070"/>
        </w:tabs>
        <w:spacing w:line="360" w:lineRule="auto"/>
        <w:ind w:left="0" w:leftChars="0"/>
        <w:rPr>
          <w:sz w:val="24"/>
        </w:rPr>
      </w:pPr>
      <w:r>
        <w:rPr>
          <w:sz w:val="24"/>
          <w:lang w:val="zh-CN"/>
        </w:rPr>
        <w:t>5 计量特性</w:t>
      </w:r>
      <w:r>
        <w:rPr>
          <w:sz w:val="24"/>
        </w:rPr>
        <w:tab/>
      </w:r>
      <w:r>
        <w:rPr>
          <w:sz w:val="24"/>
        </w:rPr>
        <w:t>（</w:t>
      </w:r>
      <w:r>
        <w:rPr>
          <w:rFonts w:hint="eastAsia"/>
          <w:sz w:val="24"/>
        </w:rPr>
        <w:t>2</w:t>
      </w:r>
      <w:r>
        <w:rPr>
          <w:sz w:val="24"/>
        </w:rPr>
        <w:t>）</w:t>
      </w:r>
    </w:p>
    <w:p w14:paraId="0C7B2C2B">
      <w:pPr>
        <w:pStyle w:val="68"/>
        <w:tabs>
          <w:tab w:val="right" w:leader="dot" w:pos="9070"/>
        </w:tabs>
        <w:spacing w:line="360" w:lineRule="auto"/>
        <w:ind w:left="0" w:leftChars="0"/>
        <w:rPr>
          <w:sz w:val="24"/>
        </w:rPr>
      </w:pPr>
      <w:r>
        <w:rPr>
          <w:sz w:val="24"/>
          <w:lang w:val="zh-CN"/>
        </w:rPr>
        <w:t>6 校准条件</w:t>
      </w:r>
      <w:r>
        <w:rPr>
          <w:sz w:val="24"/>
        </w:rPr>
        <w:tab/>
      </w:r>
      <w:r>
        <w:rPr>
          <w:sz w:val="24"/>
        </w:rPr>
        <w:t>（</w:t>
      </w:r>
      <w:r>
        <w:rPr>
          <w:rFonts w:hint="eastAsia"/>
          <w:sz w:val="24"/>
        </w:rPr>
        <w:t>2</w:t>
      </w:r>
      <w:r>
        <w:rPr>
          <w:sz w:val="24"/>
        </w:rPr>
        <w:t>）</w:t>
      </w:r>
    </w:p>
    <w:p w14:paraId="7BB9F361">
      <w:pPr>
        <w:pStyle w:val="68"/>
        <w:tabs>
          <w:tab w:val="right" w:leader="dot" w:pos="9070"/>
        </w:tabs>
        <w:spacing w:line="360" w:lineRule="auto"/>
        <w:ind w:left="0" w:leftChars="0"/>
        <w:rPr>
          <w:sz w:val="24"/>
        </w:rPr>
      </w:pPr>
      <w:r>
        <w:rPr>
          <w:sz w:val="24"/>
        </w:rPr>
        <w:t>6.1 环境条件</w:t>
      </w:r>
      <w:r>
        <w:rPr>
          <w:sz w:val="24"/>
        </w:rPr>
        <w:tab/>
      </w:r>
      <w:r>
        <w:rPr>
          <w:sz w:val="24"/>
        </w:rPr>
        <w:t>（</w:t>
      </w:r>
      <w:r>
        <w:rPr>
          <w:rFonts w:hint="eastAsia"/>
          <w:sz w:val="24"/>
        </w:rPr>
        <w:t>2</w:t>
      </w:r>
      <w:r>
        <w:rPr>
          <w:sz w:val="24"/>
        </w:rPr>
        <w:t>）</w:t>
      </w:r>
    </w:p>
    <w:p w14:paraId="4E0BFC3A">
      <w:pPr>
        <w:pStyle w:val="74"/>
        <w:tabs>
          <w:tab w:val="right" w:leader="dot" w:pos="9070"/>
        </w:tabs>
        <w:spacing w:line="360" w:lineRule="auto"/>
        <w:ind w:left="0" w:leftChars="0"/>
        <w:rPr>
          <w:sz w:val="24"/>
        </w:rPr>
      </w:pPr>
      <w:r>
        <w:rPr>
          <w:sz w:val="24"/>
        </w:rPr>
        <w:t>6.2 测量标准</w:t>
      </w:r>
      <w:r>
        <w:rPr>
          <w:sz w:val="24"/>
        </w:rPr>
        <w:tab/>
      </w:r>
      <w:r>
        <w:rPr>
          <w:sz w:val="24"/>
        </w:rPr>
        <w:t>（</w:t>
      </w:r>
      <w:r>
        <w:rPr>
          <w:rFonts w:hint="eastAsia"/>
          <w:sz w:val="24"/>
        </w:rPr>
        <w:t>2</w:t>
      </w:r>
      <w:r>
        <w:rPr>
          <w:sz w:val="24"/>
        </w:rPr>
        <w:t>）</w:t>
      </w:r>
    </w:p>
    <w:p w14:paraId="7362107A">
      <w:pPr>
        <w:pStyle w:val="68"/>
        <w:tabs>
          <w:tab w:val="right" w:leader="dot" w:pos="9070"/>
        </w:tabs>
        <w:spacing w:line="360" w:lineRule="auto"/>
        <w:ind w:left="0" w:leftChars="0"/>
        <w:rPr>
          <w:sz w:val="24"/>
        </w:rPr>
      </w:pPr>
      <w:r>
        <w:rPr>
          <w:sz w:val="24"/>
        </w:rPr>
        <w:t>7 校准项目和校准方法</w:t>
      </w:r>
      <w:r>
        <w:rPr>
          <w:sz w:val="24"/>
        </w:rPr>
        <w:tab/>
      </w:r>
      <w:r>
        <w:rPr>
          <w:sz w:val="24"/>
        </w:rPr>
        <w:t>（</w:t>
      </w:r>
      <w:r>
        <w:rPr>
          <w:rFonts w:hint="eastAsia"/>
          <w:sz w:val="24"/>
        </w:rPr>
        <w:t>3</w:t>
      </w:r>
      <w:r>
        <w:rPr>
          <w:sz w:val="24"/>
        </w:rPr>
        <w:t>）</w:t>
      </w:r>
    </w:p>
    <w:p w14:paraId="11FE30AA">
      <w:pPr>
        <w:pStyle w:val="68"/>
        <w:tabs>
          <w:tab w:val="right" w:leader="dot" w:pos="9070"/>
        </w:tabs>
        <w:spacing w:line="360" w:lineRule="auto"/>
        <w:ind w:left="0" w:leftChars="0"/>
        <w:rPr>
          <w:sz w:val="24"/>
        </w:rPr>
      </w:pPr>
      <w:r>
        <w:rPr>
          <w:sz w:val="24"/>
        </w:rPr>
        <w:t>7.1 外观及功能检查</w:t>
      </w:r>
      <w:r>
        <w:rPr>
          <w:sz w:val="24"/>
        </w:rPr>
        <w:tab/>
      </w:r>
      <w:r>
        <w:rPr>
          <w:sz w:val="24"/>
        </w:rPr>
        <w:t>（</w:t>
      </w:r>
      <w:r>
        <w:rPr>
          <w:rFonts w:hint="eastAsia"/>
          <w:sz w:val="24"/>
        </w:rPr>
        <w:t>3</w:t>
      </w:r>
      <w:r>
        <w:rPr>
          <w:sz w:val="24"/>
        </w:rPr>
        <w:t>）</w:t>
      </w:r>
    </w:p>
    <w:p w14:paraId="5E03E052">
      <w:pPr>
        <w:pStyle w:val="74"/>
        <w:tabs>
          <w:tab w:val="right" w:leader="dot" w:pos="9070"/>
        </w:tabs>
        <w:spacing w:line="360" w:lineRule="auto"/>
        <w:ind w:left="0" w:leftChars="0"/>
        <w:rPr>
          <w:sz w:val="24"/>
        </w:rPr>
      </w:pPr>
      <w:r>
        <w:rPr>
          <w:sz w:val="24"/>
          <w:lang w:val="zh-CN"/>
        </w:rPr>
        <w:t xml:space="preserve">7.2 </w:t>
      </w:r>
      <w:r>
        <w:rPr>
          <w:rFonts w:hint="eastAsia"/>
          <w:sz w:val="24"/>
          <w:lang w:val="zh-CN"/>
        </w:rPr>
        <w:t>示值误差</w:t>
      </w:r>
      <w:r>
        <w:rPr>
          <w:sz w:val="24"/>
        </w:rPr>
        <w:tab/>
      </w:r>
      <w:r>
        <w:rPr>
          <w:sz w:val="24"/>
        </w:rPr>
        <w:t>（</w:t>
      </w:r>
      <w:r>
        <w:rPr>
          <w:rFonts w:hint="eastAsia"/>
          <w:sz w:val="24"/>
        </w:rPr>
        <w:t>3</w:t>
      </w:r>
      <w:r>
        <w:rPr>
          <w:sz w:val="24"/>
        </w:rPr>
        <w:t>）</w:t>
      </w:r>
    </w:p>
    <w:p w14:paraId="33774B1E">
      <w:pPr>
        <w:pStyle w:val="68"/>
        <w:tabs>
          <w:tab w:val="right" w:leader="dot" w:pos="9070"/>
        </w:tabs>
        <w:spacing w:line="360" w:lineRule="auto"/>
        <w:ind w:left="0" w:leftChars="0"/>
        <w:rPr>
          <w:sz w:val="24"/>
        </w:rPr>
      </w:pPr>
      <w:r>
        <w:rPr>
          <w:sz w:val="24"/>
        </w:rPr>
        <w:t xml:space="preserve">7.3 </w:t>
      </w:r>
      <w:r>
        <w:rPr>
          <w:rFonts w:hint="eastAsia"/>
          <w:sz w:val="24"/>
        </w:rPr>
        <w:t>重复性</w:t>
      </w:r>
      <w:r>
        <w:rPr>
          <w:sz w:val="24"/>
        </w:rPr>
        <w:tab/>
      </w:r>
      <w:r>
        <w:rPr>
          <w:sz w:val="24"/>
        </w:rPr>
        <w:t>（</w:t>
      </w:r>
      <w:r>
        <w:rPr>
          <w:rFonts w:hint="eastAsia"/>
          <w:sz w:val="24"/>
        </w:rPr>
        <w:t>3</w:t>
      </w:r>
      <w:r>
        <w:rPr>
          <w:sz w:val="24"/>
        </w:rPr>
        <w:t>）</w:t>
      </w:r>
    </w:p>
    <w:p w14:paraId="77333D3E">
      <w:pPr>
        <w:pStyle w:val="68"/>
        <w:tabs>
          <w:tab w:val="right" w:leader="dot" w:pos="9070"/>
        </w:tabs>
        <w:spacing w:line="360" w:lineRule="auto"/>
        <w:ind w:left="0" w:leftChars="0"/>
        <w:rPr>
          <w:sz w:val="24"/>
        </w:rPr>
      </w:pPr>
      <w:r>
        <w:rPr>
          <w:sz w:val="24"/>
        </w:rPr>
        <w:t>7.</w:t>
      </w:r>
      <w:r>
        <w:rPr>
          <w:rFonts w:hint="eastAsia"/>
          <w:sz w:val="24"/>
        </w:rPr>
        <w:t>4</w:t>
      </w:r>
      <w:r>
        <w:rPr>
          <w:sz w:val="24"/>
        </w:rPr>
        <w:t xml:space="preserve"> </w:t>
      </w:r>
      <w:r>
        <w:rPr>
          <w:rFonts w:hint="eastAsia"/>
          <w:sz w:val="24"/>
        </w:rPr>
        <w:t>分辨力</w:t>
      </w:r>
      <w:r>
        <w:rPr>
          <w:sz w:val="24"/>
        </w:rPr>
        <w:tab/>
      </w:r>
      <w:r>
        <w:rPr>
          <w:sz w:val="24"/>
        </w:rPr>
        <w:t>（</w:t>
      </w:r>
      <w:r>
        <w:rPr>
          <w:rFonts w:hint="eastAsia"/>
          <w:sz w:val="24"/>
        </w:rPr>
        <w:t>3</w:t>
      </w:r>
      <w:r>
        <w:rPr>
          <w:sz w:val="24"/>
        </w:rPr>
        <w:t>）</w:t>
      </w:r>
    </w:p>
    <w:p w14:paraId="46CEABBE">
      <w:pPr>
        <w:pStyle w:val="74"/>
        <w:tabs>
          <w:tab w:val="right" w:leader="dot" w:pos="9070"/>
        </w:tabs>
        <w:spacing w:line="360" w:lineRule="auto"/>
        <w:ind w:left="0" w:leftChars="0"/>
        <w:rPr>
          <w:sz w:val="24"/>
        </w:rPr>
      </w:pPr>
      <w:r>
        <w:rPr>
          <w:sz w:val="24"/>
          <w:lang w:val="zh-CN"/>
        </w:rPr>
        <w:t>8 校准结果表达</w:t>
      </w:r>
      <w:r>
        <w:rPr>
          <w:sz w:val="24"/>
        </w:rPr>
        <w:tab/>
      </w:r>
      <w:r>
        <w:rPr>
          <w:sz w:val="24"/>
        </w:rPr>
        <w:t>（</w:t>
      </w:r>
      <w:r>
        <w:rPr>
          <w:rFonts w:hint="eastAsia"/>
          <w:sz w:val="24"/>
        </w:rPr>
        <w:t>4</w:t>
      </w:r>
      <w:r>
        <w:rPr>
          <w:sz w:val="24"/>
        </w:rPr>
        <w:t>）</w:t>
      </w:r>
    </w:p>
    <w:p w14:paraId="549698F1">
      <w:pPr>
        <w:pStyle w:val="68"/>
        <w:tabs>
          <w:tab w:val="right" w:leader="dot" w:pos="9070"/>
        </w:tabs>
        <w:spacing w:line="360" w:lineRule="auto"/>
        <w:ind w:left="0" w:leftChars="0"/>
        <w:rPr>
          <w:sz w:val="24"/>
        </w:rPr>
      </w:pPr>
      <w:r>
        <w:rPr>
          <w:sz w:val="24"/>
        </w:rPr>
        <w:t>8.1 校准结果处理</w:t>
      </w:r>
      <w:r>
        <w:rPr>
          <w:sz w:val="24"/>
        </w:rPr>
        <w:tab/>
      </w:r>
      <w:r>
        <w:rPr>
          <w:sz w:val="24"/>
        </w:rPr>
        <w:t>（</w:t>
      </w:r>
      <w:r>
        <w:rPr>
          <w:rFonts w:hint="eastAsia"/>
          <w:sz w:val="24"/>
        </w:rPr>
        <w:t>4</w:t>
      </w:r>
      <w:r>
        <w:rPr>
          <w:sz w:val="24"/>
        </w:rPr>
        <w:t>）</w:t>
      </w:r>
    </w:p>
    <w:p w14:paraId="1311B7DE">
      <w:pPr>
        <w:pStyle w:val="68"/>
        <w:tabs>
          <w:tab w:val="right" w:leader="dot" w:pos="9070"/>
        </w:tabs>
        <w:spacing w:line="360" w:lineRule="auto"/>
        <w:ind w:left="0" w:leftChars="0"/>
        <w:rPr>
          <w:sz w:val="24"/>
        </w:rPr>
      </w:pPr>
      <w:r>
        <w:rPr>
          <w:sz w:val="24"/>
        </w:rPr>
        <w:t>8.2 校准结果的测量不确定度</w:t>
      </w:r>
      <w:r>
        <w:rPr>
          <w:sz w:val="24"/>
        </w:rPr>
        <w:tab/>
      </w:r>
      <w:r>
        <w:rPr>
          <w:sz w:val="24"/>
        </w:rPr>
        <w:t>（</w:t>
      </w:r>
      <w:r>
        <w:rPr>
          <w:rFonts w:hint="eastAsia"/>
          <w:sz w:val="24"/>
        </w:rPr>
        <w:t>4</w:t>
      </w:r>
      <w:r>
        <w:rPr>
          <w:sz w:val="24"/>
        </w:rPr>
        <w:t>）</w:t>
      </w:r>
    </w:p>
    <w:p w14:paraId="1E63C16B">
      <w:pPr>
        <w:pStyle w:val="74"/>
        <w:tabs>
          <w:tab w:val="right" w:leader="dot" w:pos="9070"/>
        </w:tabs>
        <w:spacing w:line="360" w:lineRule="auto"/>
        <w:ind w:left="0" w:leftChars="0"/>
        <w:rPr>
          <w:sz w:val="24"/>
        </w:rPr>
      </w:pPr>
      <w:r>
        <w:rPr>
          <w:sz w:val="24"/>
          <w:lang w:val="zh-CN"/>
        </w:rPr>
        <w:t>9 复校时间间隔</w:t>
      </w:r>
      <w:r>
        <w:rPr>
          <w:sz w:val="24"/>
        </w:rPr>
        <w:tab/>
      </w:r>
      <w:r>
        <w:rPr>
          <w:sz w:val="24"/>
        </w:rPr>
        <w:t>（</w:t>
      </w:r>
      <w:r>
        <w:rPr>
          <w:rFonts w:hint="eastAsia"/>
          <w:sz w:val="24"/>
        </w:rPr>
        <w:t>4</w:t>
      </w:r>
      <w:r>
        <w:rPr>
          <w:sz w:val="24"/>
        </w:rPr>
        <w:t>）</w:t>
      </w:r>
    </w:p>
    <w:p w14:paraId="69FDBC3D">
      <w:pPr>
        <w:pStyle w:val="74"/>
        <w:tabs>
          <w:tab w:val="right" w:leader="dot" w:pos="9070"/>
        </w:tabs>
        <w:spacing w:line="360" w:lineRule="auto"/>
        <w:ind w:left="0" w:leftChars="0"/>
        <w:rPr>
          <w:sz w:val="24"/>
        </w:rPr>
      </w:pPr>
      <w:r>
        <w:rPr>
          <w:sz w:val="24"/>
          <w:lang w:val="zh-CN"/>
        </w:rPr>
        <w:t>附录A</w:t>
      </w:r>
      <w:r>
        <w:rPr>
          <w:sz w:val="24"/>
        </w:rPr>
        <w:t xml:space="preserve"> 校准原始记录格式</w:t>
      </w:r>
      <w:r>
        <w:rPr>
          <w:sz w:val="24"/>
        </w:rPr>
        <w:tab/>
      </w:r>
      <w:r>
        <w:rPr>
          <w:sz w:val="24"/>
        </w:rPr>
        <w:t>（</w:t>
      </w:r>
      <w:r>
        <w:rPr>
          <w:rFonts w:hint="eastAsia"/>
          <w:sz w:val="24"/>
        </w:rPr>
        <w:t>5</w:t>
      </w:r>
      <w:r>
        <w:rPr>
          <w:sz w:val="24"/>
        </w:rPr>
        <w:t>）</w:t>
      </w:r>
    </w:p>
    <w:p w14:paraId="29D31D52">
      <w:pPr>
        <w:pStyle w:val="74"/>
        <w:tabs>
          <w:tab w:val="right" w:leader="dot" w:pos="9070"/>
        </w:tabs>
        <w:spacing w:line="360" w:lineRule="auto"/>
        <w:ind w:left="0" w:leftChars="0"/>
        <w:rPr>
          <w:sz w:val="24"/>
        </w:rPr>
      </w:pPr>
      <w:r>
        <w:rPr>
          <w:sz w:val="24"/>
          <w:lang w:val="zh-CN"/>
        </w:rPr>
        <w:t>附录B 校准证书（内页）格式</w:t>
      </w:r>
      <w:r>
        <w:rPr>
          <w:sz w:val="24"/>
        </w:rPr>
        <w:tab/>
      </w:r>
      <w:r>
        <w:rPr>
          <w:sz w:val="24"/>
        </w:rPr>
        <w:t>（</w:t>
      </w:r>
      <w:r>
        <w:rPr>
          <w:rFonts w:hint="eastAsia"/>
          <w:sz w:val="24"/>
        </w:rPr>
        <w:t>6</w:t>
      </w:r>
      <w:r>
        <w:rPr>
          <w:sz w:val="24"/>
        </w:rPr>
        <w:t>）</w:t>
      </w:r>
    </w:p>
    <w:p w14:paraId="24B996FD">
      <w:pPr>
        <w:pStyle w:val="74"/>
        <w:tabs>
          <w:tab w:val="right" w:leader="dot" w:pos="9070"/>
        </w:tabs>
        <w:spacing w:line="360" w:lineRule="auto"/>
        <w:ind w:left="0" w:leftChars="0"/>
        <w:rPr>
          <w:sz w:val="24"/>
        </w:rPr>
      </w:pPr>
      <w:r>
        <w:rPr>
          <w:sz w:val="24"/>
          <w:lang w:val="zh-CN"/>
        </w:rPr>
        <w:t>附录C 测量不确定度评定示例</w:t>
      </w:r>
      <w:r>
        <w:rPr>
          <w:sz w:val="24"/>
        </w:rPr>
        <w:tab/>
      </w:r>
      <w:r>
        <w:rPr>
          <w:sz w:val="24"/>
        </w:rPr>
        <w:t>（</w:t>
      </w:r>
      <w:r>
        <w:rPr>
          <w:rFonts w:hint="eastAsia"/>
          <w:sz w:val="24"/>
        </w:rPr>
        <w:t>7</w:t>
      </w:r>
      <w:r>
        <w:rPr>
          <w:sz w:val="24"/>
        </w:rPr>
        <w:t>）</w:t>
      </w:r>
    </w:p>
    <w:p w14:paraId="2BEBA6FA">
      <w:pPr>
        <w:pStyle w:val="74"/>
        <w:tabs>
          <w:tab w:val="right" w:leader="dot" w:pos="9070"/>
        </w:tabs>
        <w:spacing w:line="240" w:lineRule="exact"/>
        <w:ind w:left="0" w:leftChars="0"/>
        <w:rPr>
          <w:bCs/>
          <w:sz w:val="28"/>
          <w:szCs w:val="28"/>
        </w:rPr>
      </w:pPr>
      <w:r>
        <w:rPr>
          <w:bCs/>
          <w:sz w:val="28"/>
          <w:szCs w:val="28"/>
        </w:rPr>
        <w:fldChar w:fldCharType="end"/>
      </w:r>
      <w:r>
        <w:rPr>
          <w:bCs/>
          <w:sz w:val="28"/>
          <w:szCs w:val="28"/>
        </w:rPr>
        <w:fldChar w:fldCharType="end"/>
      </w:r>
    </w:p>
    <w:p w14:paraId="1B9BDE3D">
      <w:pPr>
        <w:pageBreakBefore/>
        <w:spacing w:line="324" w:lineRule="auto"/>
        <w:jc w:val="center"/>
        <w:rPr>
          <w:rFonts w:eastAsia="黑体"/>
          <w:bCs/>
          <w:sz w:val="44"/>
          <w:szCs w:val="44"/>
        </w:rPr>
      </w:pPr>
      <w:r>
        <w:rPr>
          <w:rFonts w:eastAsia="黑体"/>
          <w:bCs/>
          <w:sz w:val="44"/>
          <w:szCs w:val="44"/>
        </w:rPr>
        <w:t>引    言</w:t>
      </w:r>
    </w:p>
    <w:p w14:paraId="79BEA4C4">
      <w:pPr>
        <w:autoSpaceDE w:val="0"/>
        <w:autoSpaceDN w:val="0"/>
        <w:adjustRightInd w:val="0"/>
        <w:spacing w:line="520" w:lineRule="exact"/>
        <w:ind w:firstLine="480" w:firstLineChars="200"/>
        <w:rPr>
          <w:color w:val="000000"/>
        </w:rPr>
      </w:pPr>
      <w:r>
        <w:rPr>
          <w:sz w:val="24"/>
        </w:rPr>
        <w:t>JJF 1071《国家计量校准规范编写规则》、JJF 1001《通用计量术语及定义》</w:t>
      </w:r>
      <w:r>
        <w:rPr>
          <w:rFonts w:hint="eastAsia"/>
          <w:sz w:val="24"/>
        </w:rPr>
        <w:t>、</w:t>
      </w:r>
      <w:r>
        <w:rPr>
          <w:sz w:val="24"/>
        </w:rPr>
        <w:t xml:space="preserve">JJF 1059.1《测量不确定度评定与表示》 </w:t>
      </w:r>
      <w:r>
        <w:rPr>
          <w:rFonts w:hint="eastAsia"/>
          <w:sz w:val="24"/>
        </w:rPr>
        <w:t>、</w:t>
      </w:r>
      <w:r>
        <w:rPr>
          <w:sz w:val="24"/>
        </w:rPr>
        <w:t>JJF 1211-2008</w:t>
      </w:r>
      <w:r>
        <w:rPr>
          <w:rFonts w:hint="eastAsia"/>
          <w:sz w:val="24"/>
        </w:rPr>
        <w:t xml:space="preserve">《激光粒度分析仪校准规范》、 </w:t>
      </w:r>
      <w:r>
        <w:rPr>
          <w:sz w:val="24"/>
        </w:rPr>
        <w:t>GB/T19077-2016/ISO13320:2009</w:t>
      </w:r>
      <w:r>
        <w:rPr>
          <w:rFonts w:hint="eastAsia"/>
          <w:sz w:val="24"/>
        </w:rPr>
        <w:t>《粒度分布 激光衍射法》部分内容共</w:t>
      </w:r>
      <w:r>
        <w:rPr>
          <w:sz w:val="24"/>
        </w:rPr>
        <w:t>同构成支撑本规范制定工作的基础性系列规范。校准方法及计量特性等主要参考了JJF1211-2008</w:t>
      </w:r>
      <w:r>
        <w:rPr>
          <w:rFonts w:hint="eastAsia"/>
          <w:sz w:val="24"/>
        </w:rPr>
        <w:t>《激光粒度分析仪校准规范》内容。</w:t>
      </w:r>
    </w:p>
    <w:p w14:paraId="60233B82">
      <w:pPr>
        <w:autoSpaceDE w:val="0"/>
        <w:autoSpaceDN w:val="0"/>
        <w:adjustRightInd w:val="0"/>
        <w:spacing w:line="520" w:lineRule="exact"/>
        <w:ind w:firstLine="480" w:firstLineChars="200"/>
        <w:rPr>
          <w:sz w:val="24"/>
        </w:rPr>
      </w:pPr>
      <w:r>
        <w:rPr>
          <w:sz w:val="24"/>
        </w:rPr>
        <w:t>本规范为首次发布。</w:t>
      </w:r>
    </w:p>
    <w:p w14:paraId="008C57EA">
      <w:pPr>
        <w:tabs>
          <w:tab w:val="left" w:pos="7320"/>
        </w:tabs>
        <w:rPr>
          <w:sz w:val="24"/>
        </w:rPr>
        <w:sectPr>
          <w:footerReference r:id="rId6" w:type="first"/>
          <w:pgSz w:w="11906" w:h="16838"/>
          <w:pgMar w:top="1440" w:right="1418" w:bottom="1440" w:left="1418" w:header="851" w:footer="992" w:gutter="0"/>
          <w:pgNumType w:fmt="upperRoman" w:start="1"/>
          <w:cols w:space="720" w:num="1"/>
          <w:titlePg/>
          <w:docGrid w:type="linesAndChars" w:linePitch="312" w:charSpace="0"/>
        </w:sectPr>
      </w:pPr>
      <w:r>
        <w:rPr>
          <w:sz w:val="24"/>
        </w:rPr>
        <w:tab/>
      </w:r>
    </w:p>
    <w:p w14:paraId="7AB7CBF6">
      <w:pPr>
        <w:pageBreakBefore/>
        <w:autoSpaceDE w:val="0"/>
        <w:autoSpaceDN w:val="0"/>
        <w:adjustRightInd w:val="0"/>
        <w:jc w:val="center"/>
        <w:rPr>
          <w:rFonts w:eastAsia="黑体"/>
          <w:bCs/>
          <w:sz w:val="28"/>
          <w:szCs w:val="28"/>
        </w:rPr>
      </w:pPr>
      <w:r>
        <w:rPr>
          <w:rFonts w:hint="eastAsia" w:eastAsia="黑体"/>
          <w:sz w:val="32"/>
          <w:szCs w:val="32"/>
          <w:lang w:val="zh-CN"/>
        </w:rPr>
        <w:t>干法进样激光粒度分析仪</w:t>
      </w:r>
      <w:r>
        <w:rPr>
          <w:rFonts w:eastAsia="黑体"/>
          <w:sz w:val="32"/>
          <w:szCs w:val="32"/>
          <w:lang w:val="zh-CN"/>
        </w:rPr>
        <w:t>校准规范</w:t>
      </w:r>
    </w:p>
    <w:p w14:paraId="7CD08C8A">
      <w:pPr>
        <w:pStyle w:val="4"/>
        <w:spacing w:line="360" w:lineRule="auto"/>
        <w:rPr>
          <w:rFonts w:ascii="Times New Roman" w:hAnsi="Times New Roman" w:eastAsia="黑体"/>
          <w:b w:val="0"/>
          <w:bCs w:val="0"/>
          <w:sz w:val="24"/>
          <w:szCs w:val="24"/>
        </w:rPr>
      </w:pPr>
      <w:bookmarkStart w:id="0" w:name="_Toc32443"/>
      <w:bookmarkStart w:id="1" w:name="_Toc427490791"/>
      <w:bookmarkStart w:id="2" w:name="_Toc1279"/>
      <w:r>
        <w:rPr>
          <w:rFonts w:ascii="Times New Roman" w:hAnsi="Times New Roman" w:eastAsia="黑体"/>
          <w:b w:val="0"/>
          <w:bCs w:val="0"/>
          <w:sz w:val="24"/>
          <w:szCs w:val="24"/>
        </w:rPr>
        <w:t xml:space="preserve">1  </w:t>
      </w:r>
      <w:r>
        <w:rPr>
          <w:rFonts w:ascii="Times New Roman" w:hAnsi="Times New Roman" w:eastAsia="黑体"/>
          <w:b w:val="0"/>
          <w:bCs w:val="0"/>
          <w:sz w:val="24"/>
          <w:szCs w:val="24"/>
          <w:lang w:val="zh-CN"/>
        </w:rPr>
        <w:t>范围</w:t>
      </w:r>
      <w:bookmarkEnd w:id="0"/>
      <w:bookmarkEnd w:id="1"/>
      <w:bookmarkEnd w:id="2"/>
    </w:p>
    <w:p w14:paraId="08C9A85A">
      <w:pPr>
        <w:autoSpaceDE w:val="0"/>
        <w:autoSpaceDN w:val="0"/>
        <w:adjustRightInd w:val="0"/>
        <w:ind w:firstLine="360" w:firstLineChars="150"/>
        <w:jc w:val="left"/>
        <w:rPr>
          <w:sz w:val="24"/>
        </w:rPr>
      </w:pPr>
      <w:r>
        <w:rPr>
          <w:rFonts w:hint="eastAsia"/>
          <w:sz w:val="24"/>
        </w:rPr>
        <w:t>本规范适用于测量分散于气体介质中固体颗粒粒径大小及分布的基于光散射原理 的激光粒度分析仪（以下简称仪器）的校准。</w:t>
      </w:r>
    </w:p>
    <w:p w14:paraId="173156B3">
      <w:pPr>
        <w:pStyle w:val="4"/>
        <w:spacing w:line="360" w:lineRule="auto"/>
        <w:rPr>
          <w:rFonts w:ascii="Times New Roman" w:hAnsi="Times New Roman" w:eastAsia="黑体"/>
          <w:b w:val="0"/>
          <w:bCs w:val="0"/>
          <w:sz w:val="24"/>
          <w:szCs w:val="24"/>
        </w:rPr>
      </w:pPr>
      <w:bookmarkStart w:id="3" w:name="_Toc2238"/>
      <w:bookmarkStart w:id="4" w:name="_Toc26134"/>
      <w:bookmarkStart w:id="5" w:name="_Toc427490792"/>
      <w:r>
        <w:rPr>
          <w:rFonts w:ascii="Times New Roman" w:hAnsi="Times New Roman" w:eastAsia="黑体"/>
          <w:b w:val="0"/>
          <w:bCs w:val="0"/>
          <w:sz w:val="24"/>
          <w:szCs w:val="24"/>
        </w:rPr>
        <w:t>2  引用</w:t>
      </w:r>
      <w:r>
        <w:rPr>
          <w:rFonts w:ascii="Times New Roman" w:hAnsi="Times New Roman" w:eastAsia="黑体"/>
          <w:b w:val="0"/>
          <w:bCs w:val="0"/>
          <w:sz w:val="24"/>
          <w:szCs w:val="24"/>
          <w:lang w:val="zh-CN"/>
        </w:rPr>
        <w:t>文件</w:t>
      </w:r>
      <w:bookmarkEnd w:id="3"/>
      <w:bookmarkEnd w:id="4"/>
      <w:bookmarkEnd w:id="5"/>
    </w:p>
    <w:p w14:paraId="325238DD">
      <w:pPr>
        <w:autoSpaceDE w:val="0"/>
        <w:autoSpaceDN w:val="0"/>
        <w:adjustRightInd w:val="0"/>
        <w:spacing w:line="360" w:lineRule="auto"/>
        <w:ind w:firstLine="480" w:firstLineChars="200"/>
        <w:rPr>
          <w:kern w:val="0"/>
          <w:sz w:val="24"/>
        </w:rPr>
      </w:pPr>
      <w:r>
        <w:rPr>
          <w:kern w:val="0"/>
          <w:sz w:val="24"/>
        </w:rPr>
        <w:t>本规范引用了下列文件：</w:t>
      </w:r>
    </w:p>
    <w:p w14:paraId="600B8060">
      <w:pPr>
        <w:autoSpaceDE w:val="0"/>
        <w:autoSpaceDN w:val="0"/>
        <w:adjustRightInd w:val="0"/>
        <w:spacing w:line="360" w:lineRule="auto"/>
        <w:ind w:firstLine="480" w:firstLineChars="200"/>
        <w:rPr>
          <w:kern w:val="0"/>
          <w:sz w:val="24"/>
        </w:rPr>
      </w:pPr>
      <w:r>
        <w:rPr>
          <w:kern w:val="0"/>
          <w:sz w:val="24"/>
        </w:rPr>
        <w:t>JJF1211-2008</w:t>
      </w:r>
      <w:r>
        <w:rPr>
          <w:rFonts w:hint="eastAsia"/>
          <w:kern w:val="0"/>
          <w:sz w:val="24"/>
        </w:rPr>
        <w:t xml:space="preserve">《激光粒度分析仪校准规范》 </w:t>
      </w:r>
    </w:p>
    <w:p w14:paraId="137AB159">
      <w:pPr>
        <w:autoSpaceDE w:val="0"/>
        <w:autoSpaceDN w:val="0"/>
        <w:adjustRightInd w:val="0"/>
        <w:spacing w:line="360" w:lineRule="auto"/>
        <w:ind w:firstLine="480" w:firstLineChars="200"/>
        <w:rPr>
          <w:kern w:val="0"/>
          <w:sz w:val="24"/>
        </w:rPr>
      </w:pPr>
      <w:r>
        <w:rPr>
          <w:kern w:val="0"/>
          <w:sz w:val="24"/>
        </w:rPr>
        <w:t>GB/T19077-2016/ISO13320:2009</w:t>
      </w:r>
      <w:r>
        <w:rPr>
          <w:rFonts w:hint="eastAsia"/>
          <w:kern w:val="0"/>
          <w:sz w:val="24"/>
        </w:rPr>
        <w:t xml:space="preserve">《粒度分布 激光衍射法》 </w:t>
      </w:r>
    </w:p>
    <w:p w14:paraId="74DB44DF">
      <w:pPr>
        <w:autoSpaceDE w:val="0"/>
        <w:autoSpaceDN w:val="0"/>
        <w:adjustRightInd w:val="0"/>
        <w:spacing w:line="360" w:lineRule="auto"/>
        <w:ind w:firstLine="480" w:firstLineChars="200"/>
        <w:rPr>
          <w:sz w:val="24"/>
        </w:rPr>
      </w:pPr>
      <w:r>
        <w:rPr>
          <w:rFonts w:hint="eastAsia"/>
          <w:kern w:val="0"/>
          <w:sz w:val="24"/>
        </w:rPr>
        <w:t>凡是注日期的引用文件，仅注日期的版本适用于本规范。凡是不注日期的引用文件， 其最新版</w:t>
      </w:r>
      <w:r>
        <w:rPr>
          <w:kern w:val="0"/>
          <w:sz w:val="24"/>
        </w:rPr>
        <w:t>。</w:t>
      </w:r>
    </w:p>
    <w:p w14:paraId="64E29041">
      <w:pPr>
        <w:pStyle w:val="4"/>
        <w:spacing w:line="360" w:lineRule="auto"/>
        <w:rPr>
          <w:rFonts w:ascii="Times New Roman" w:hAnsi="Times New Roman" w:eastAsia="黑体"/>
          <w:b w:val="0"/>
          <w:bCs w:val="0"/>
          <w:sz w:val="24"/>
          <w:szCs w:val="24"/>
        </w:rPr>
      </w:pPr>
      <w:bookmarkStart w:id="6" w:name="_Toc334"/>
      <w:bookmarkStart w:id="7" w:name="_Toc427490793"/>
      <w:bookmarkStart w:id="8" w:name="_Toc8459"/>
      <w:r>
        <w:rPr>
          <w:rFonts w:ascii="Times New Roman" w:hAnsi="Times New Roman" w:eastAsia="黑体"/>
          <w:b w:val="0"/>
          <w:bCs w:val="0"/>
          <w:sz w:val="24"/>
          <w:szCs w:val="24"/>
        </w:rPr>
        <w:t xml:space="preserve">3  </w:t>
      </w:r>
      <w:r>
        <w:rPr>
          <w:rFonts w:ascii="Times New Roman" w:hAnsi="Times New Roman" w:eastAsia="黑体"/>
          <w:b w:val="0"/>
          <w:bCs w:val="0"/>
          <w:sz w:val="24"/>
          <w:szCs w:val="24"/>
          <w:lang w:val="zh-CN"/>
        </w:rPr>
        <w:t>术语和计量单位</w:t>
      </w:r>
      <w:bookmarkEnd w:id="6"/>
      <w:bookmarkEnd w:id="7"/>
      <w:bookmarkEnd w:id="8"/>
    </w:p>
    <w:p w14:paraId="5178241C">
      <w:pPr>
        <w:spacing w:line="360" w:lineRule="auto"/>
        <w:ind w:firstLine="480" w:firstLineChars="200"/>
        <w:rPr>
          <w:sz w:val="24"/>
        </w:rPr>
      </w:pPr>
      <w:bookmarkStart w:id="9" w:name="_Toc39049453"/>
      <w:bookmarkStart w:id="10" w:name="_Toc399947143"/>
      <w:bookmarkStart w:id="11" w:name="_Toc17850"/>
      <w:r>
        <w:rPr>
          <w:rFonts w:hint="eastAsia"/>
          <w:sz w:val="24"/>
        </w:rPr>
        <w:t xml:space="preserve">质量（体积）分布中位直径 </w:t>
      </w:r>
      <w:r>
        <w:rPr>
          <w:sz w:val="24"/>
        </w:rPr>
        <w:t>D50</w:t>
      </w:r>
      <w:r>
        <w:rPr>
          <w:rFonts w:hint="eastAsia"/>
          <w:sz w:val="24"/>
        </w:rPr>
        <w:t>，又称</w:t>
      </w:r>
      <w:r>
        <w:rPr>
          <w:sz w:val="24"/>
        </w:rPr>
        <w:t>“</w:t>
      </w:r>
      <w:r>
        <w:rPr>
          <w:rFonts w:hint="eastAsia"/>
          <w:sz w:val="24"/>
        </w:rPr>
        <w:t>中值径</w:t>
      </w:r>
      <w:r>
        <w:rPr>
          <w:sz w:val="24"/>
        </w:rPr>
        <w:t>”</w:t>
      </w:r>
      <w:r>
        <w:rPr>
          <w:rFonts w:hint="eastAsia"/>
          <w:sz w:val="24"/>
        </w:rPr>
        <w:t>或者</w:t>
      </w:r>
      <w:r>
        <w:rPr>
          <w:sz w:val="24"/>
        </w:rPr>
        <w:t>“</w:t>
      </w:r>
      <w:r>
        <w:rPr>
          <w:rFonts w:hint="eastAsia"/>
          <w:sz w:val="24"/>
        </w:rPr>
        <w:t>累积中间值</w:t>
      </w:r>
      <w:r>
        <w:rPr>
          <w:sz w:val="24"/>
        </w:rPr>
        <w:t>”</w:t>
      </w:r>
      <w:r>
        <w:rPr>
          <w:rFonts w:hint="eastAsia"/>
          <w:sz w:val="24"/>
        </w:rPr>
        <w:t xml:space="preserve">，是指在颗粒质量 （体积）累积分布曲线中累积值正好为 </w:t>
      </w:r>
      <w:r>
        <w:rPr>
          <w:sz w:val="24"/>
        </w:rPr>
        <w:t>50%</w:t>
      </w:r>
      <w:r>
        <w:rPr>
          <w:rFonts w:hint="eastAsia"/>
          <w:sz w:val="24"/>
        </w:rPr>
        <w:t xml:space="preserve">所对应的粒子直径，通常用 </w:t>
      </w:r>
      <w:r>
        <w:rPr>
          <w:sz w:val="24"/>
        </w:rPr>
        <w:t>D50</w:t>
      </w:r>
      <w:r>
        <w:rPr>
          <w:rFonts w:hint="eastAsia"/>
          <w:sz w:val="24"/>
        </w:rPr>
        <w:t>表示。</w:t>
      </w:r>
    </w:p>
    <w:bookmarkEnd w:id="9"/>
    <w:bookmarkEnd w:id="10"/>
    <w:bookmarkEnd w:id="11"/>
    <w:p w14:paraId="1DBA5D99">
      <w:pPr>
        <w:pStyle w:val="4"/>
        <w:spacing w:line="360" w:lineRule="auto"/>
        <w:rPr>
          <w:rFonts w:ascii="Times New Roman" w:hAnsi="Times New Roman" w:eastAsia="黑体"/>
          <w:b w:val="0"/>
          <w:bCs w:val="0"/>
          <w:sz w:val="24"/>
          <w:szCs w:val="24"/>
        </w:rPr>
      </w:pPr>
      <w:bookmarkStart w:id="12" w:name="_Toc31950"/>
      <w:bookmarkStart w:id="13" w:name="_Toc427490795"/>
      <w:bookmarkStart w:id="14" w:name="_Toc20685"/>
      <w:r>
        <w:rPr>
          <w:rFonts w:ascii="Times New Roman" w:hAnsi="Times New Roman" w:eastAsia="黑体"/>
          <w:b w:val="0"/>
          <w:bCs w:val="0"/>
          <w:sz w:val="24"/>
          <w:szCs w:val="24"/>
        </w:rPr>
        <w:t xml:space="preserve">4  </w:t>
      </w:r>
      <w:r>
        <w:rPr>
          <w:rFonts w:ascii="Times New Roman" w:hAnsi="Times New Roman" w:eastAsia="黑体"/>
          <w:b w:val="0"/>
          <w:bCs w:val="0"/>
          <w:sz w:val="24"/>
          <w:szCs w:val="24"/>
          <w:lang w:val="zh-CN"/>
        </w:rPr>
        <w:t>概述</w:t>
      </w:r>
      <w:bookmarkEnd w:id="12"/>
      <w:bookmarkEnd w:id="13"/>
      <w:bookmarkEnd w:id="14"/>
    </w:p>
    <w:p w14:paraId="00032FB7">
      <w:pPr>
        <w:autoSpaceDE w:val="0"/>
        <w:autoSpaceDN w:val="0"/>
        <w:adjustRightInd w:val="0"/>
        <w:spacing w:line="360" w:lineRule="auto"/>
        <w:ind w:firstLine="480" w:firstLineChars="200"/>
        <w:rPr>
          <w:sz w:val="24"/>
        </w:rPr>
      </w:pPr>
      <w:bookmarkStart w:id="15" w:name="_Toc32308"/>
      <w:r>
        <w:rPr>
          <w:rFonts w:hint="eastAsia"/>
          <w:sz w:val="24"/>
        </w:rPr>
        <w:t>仪器工作原理是颗粒样品以一定浓度分散在适当的气体介质（空气</w:t>
      </w:r>
      <w:r>
        <w:rPr>
          <w:sz w:val="24"/>
        </w:rPr>
        <w:t>/</w:t>
      </w:r>
      <w:r>
        <w:rPr>
          <w:rFonts w:hint="eastAsia"/>
          <w:sz w:val="24"/>
        </w:rPr>
        <w:t xml:space="preserve">氮气、氩气等 惰性气体）中，当光束（通常是激光）通过该介质时遇到颗粒后以各种角度散射，由检测器测量散射光强度，使用相应的光学模型和数据模型转化为散射光数据从而得到颗粒 样品的粒径大小和分布。 仪器主要由激光器、样品池、光电探测器、信号放大及 </w:t>
      </w:r>
      <w:r>
        <w:rPr>
          <w:sz w:val="24"/>
        </w:rPr>
        <w:t xml:space="preserve">A/D </w:t>
      </w:r>
      <w:r>
        <w:rPr>
          <w:rFonts w:hint="eastAsia"/>
          <w:sz w:val="24"/>
        </w:rPr>
        <w:t xml:space="preserve">转换装置、显示单元组成，其结构示意图见图 </w:t>
      </w:r>
      <w:r>
        <w:rPr>
          <w:sz w:val="24"/>
        </w:rPr>
        <w:t>1</w:t>
      </w:r>
      <w:r>
        <w:rPr>
          <w:rFonts w:hint="eastAsia"/>
          <w:sz w:val="24"/>
        </w:rPr>
        <w:t>。</w:t>
      </w:r>
    </w:p>
    <w:p w14:paraId="2409F8A8">
      <w:pPr>
        <w:autoSpaceDE w:val="0"/>
        <w:autoSpaceDN w:val="0"/>
        <w:adjustRightInd w:val="0"/>
        <w:spacing w:line="360" w:lineRule="auto"/>
        <w:jc w:val="center"/>
        <w:rPr>
          <w:color w:val="000000"/>
          <w:szCs w:val="21"/>
        </w:rPr>
      </w:pPr>
      <w:r>
        <w:rPr>
          <w:rFonts w:ascii="仿宋" w:hAnsi="仿宋" w:eastAsia="仿宋"/>
          <w:b/>
          <w:kern w:val="0"/>
          <w:sz w:val="24"/>
        </w:rPr>
        <w:drawing>
          <wp:anchor distT="0" distB="0" distL="114300" distR="114300" simplePos="0" relativeHeight="251663360" behindDoc="1" locked="0" layoutInCell="1" allowOverlap="1">
            <wp:simplePos x="0" y="0"/>
            <wp:positionH relativeFrom="column">
              <wp:posOffset>112395</wp:posOffset>
            </wp:positionH>
            <wp:positionV relativeFrom="paragraph">
              <wp:posOffset>1905</wp:posOffset>
            </wp:positionV>
            <wp:extent cx="5487670" cy="723265"/>
            <wp:effectExtent l="0" t="0" r="0" b="635"/>
            <wp:wrapTight wrapText="bothSides">
              <wp:wrapPolygon>
                <wp:start x="0" y="0"/>
                <wp:lineTo x="0" y="21050"/>
                <wp:lineTo x="21520" y="21050"/>
                <wp:lineTo x="21520" y="0"/>
                <wp:lineTo x="0" y="0"/>
              </wp:wrapPolygon>
            </wp:wrapTight>
            <wp:docPr id="6" name="图片 6" descr="C:\Users\Administrator\Desktop\微信图片_202305080909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微信图片_2023050809093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87670" cy="723265"/>
                    </a:xfrm>
                    <a:prstGeom prst="rect">
                      <a:avLst/>
                    </a:prstGeom>
                    <a:noFill/>
                    <a:ln>
                      <a:noFill/>
                    </a:ln>
                  </pic:spPr>
                </pic:pic>
              </a:graphicData>
            </a:graphic>
          </wp:anchor>
        </w:drawing>
      </w:r>
      <w:r>
        <w:rPr>
          <w:sz w:val="24"/>
        </w:rPr>
        <w:t xml:space="preserve">图1 </w:t>
      </w:r>
      <w:r>
        <w:rPr>
          <w:rFonts w:hint="eastAsia"/>
          <w:color w:val="000000"/>
          <w:szCs w:val="21"/>
        </w:rPr>
        <w:t>仪器结构示意图</w:t>
      </w:r>
    </w:p>
    <w:p w14:paraId="58AB5FEA">
      <w:pPr>
        <w:autoSpaceDE w:val="0"/>
        <w:autoSpaceDN w:val="0"/>
        <w:adjustRightInd w:val="0"/>
        <w:spacing w:line="360" w:lineRule="auto"/>
        <w:ind w:firstLine="360" w:firstLineChars="150"/>
        <w:jc w:val="left"/>
        <w:rPr>
          <w:sz w:val="24"/>
        </w:rPr>
      </w:pPr>
      <w:r>
        <w:rPr>
          <w:rFonts w:hint="eastAsia"/>
          <w:sz w:val="24"/>
        </w:rPr>
        <w:t>干法进样激光粒度分析仪的应用领域：</w:t>
      </w:r>
    </w:p>
    <w:p w14:paraId="21517D42">
      <w:pPr>
        <w:autoSpaceDE w:val="0"/>
        <w:autoSpaceDN w:val="0"/>
        <w:adjustRightInd w:val="0"/>
        <w:spacing w:line="360" w:lineRule="auto"/>
        <w:ind w:firstLine="360" w:firstLineChars="150"/>
        <w:jc w:val="left"/>
        <w:rPr>
          <w:sz w:val="24"/>
        </w:rPr>
      </w:pPr>
      <w:r>
        <w:rPr>
          <w:rFonts w:hint="eastAsia"/>
          <w:sz w:val="24"/>
        </w:rPr>
        <w:t>溶于水的样品：如药品，包括原料药、粉剂西药、粉剂中药、粉剂药载体等。</w:t>
      </w:r>
    </w:p>
    <w:p w14:paraId="6638C5FD">
      <w:pPr>
        <w:autoSpaceDE w:val="0"/>
        <w:autoSpaceDN w:val="0"/>
        <w:adjustRightInd w:val="0"/>
        <w:spacing w:line="360" w:lineRule="auto"/>
        <w:jc w:val="left"/>
        <w:rPr>
          <w:sz w:val="24"/>
        </w:rPr>
      </w:pPr>
      <w:r>
        <w:rPr>
          <w:rFonts w:hint="eastAsia"/>
          <w:sz w:val="24"/>
        </w:rPr>
        <w:t></w:t>
      </w:r>
      <w:r>
        <w:rPr>
          <w:sz w:val="24"/>
        </w:rPr>
        <w:t xml:space="preserve"> </w:t>
      </w:r>
      <w:r>
        <w:rPr>
          <w:rFonts w:hint="eastAsia"/>
          <w:sz w:val="24"/>
        </w:rPr>
        <w:t>遇水发生物理和化学变化的样品：如水泥、淀粉、咖啡、盐、碱、调味料、化工产品等。</w:t>
      </w:r>
    </w:p>
    <w:p w14:paraId="6C11F066">
      <w:pPr>
        <w:autoSpaceDE w:val="0"/>
        <w:autoSpaceDN w:val="0"/>
        <w:adjustRightInd w:val="0"/>
        <w:spacing w:line="360" w:lineRule="auto"/>
        <w:jc w:val="left"/>
        <w:rPr>
          <w:sz w:val="24"/>
        </w:rPr>
      </w:pPr>
      <w:r>
        <w:rPr>
          <w:rFonts w:hint="eastAsia"/>
          <w:sz w:val="24"/>
        </w:rPr>
        <w:t></w:t>
      </w:r>
      <w:r>
        <w:rPr>
          <w:sz w:val="24"/>
        </w:rPr>
        <w:t xml:space="preserve"> </w:t>
      </w:r>
      <w:r>
        <w:rPr>
          <w:rFonts w:hint="eastAsia"/>
          <w:sz w:val="24"/>
        </w:rPr>
        <w:t>磁性材料：如钕铁硼粉、软磁粉、永磁粉等。</w:t>
      </w:r>
    </w:p>
    <w:p w14:paraId="790F1455">
      <w:pPr>
        <w:autoSpaceDE w:val="0"/>
        <w:autoSpaceDN w:val="0"/>
        <w:adjustRightInd w:val="0"/>
        <w:spacing w:line="360" w:lineRule="auto"/>
        <w:ind w:firstLine="360" w:firstLineChars="150"/>
        <w:rPr>
          <w:sz w:val="24"/>
        </w:rPr>
      </w:pPr>
      <w:r>
        <w:rPr>
          <w:rFonts w:hint="eastAsia"/>
          <w:sz w:val="24"/>
        </w:rPr>
        <w:t>其它：不宜用液体分散的其它样品。</w:t>
      </w:r>
    </w:p>
    <w:p w14:paraId="08B4C186">
      <w:pPr>
        <w:autoSpaceDE w:val="0"/>
        <w:autoSpaceDN w:val="0"/>
        <w:adjustRightInd w:val="0"/>
        <w:spacing w:line="360" w:lineRule="auto"/>
        <w:jc w:val="center"/>
        <w:rPr>
          <w:sz w:val="24"/>
        </w:rPr>
      </w:pPr>
    </w:p>
    <w:bookmarkEnd w:id="15"/>
    <w:p w14:paraId="04C458CA">
      <w:pPr>
        <w:pStyle w:val="4"/>
        <w:spacing w:line="360" w:lineRule="auto"/>
        <w:rPr>
          <w:rFonts w:ascii="Times New Roman" w:hAnsi="Times New Roman" w:eastAsia="黑体"/>
          <w:b w:val="0"/>
          <w:bCs w:val="0"/>
          <w:sz w:val="24"/>
          <w:szCs w:val="24"/>
          <w:lang w:val="zh-CN"/>
        </w:rPr>
      </w:pPr>
      <w:bookmarkStart w:id="16" w:name="_Toc427490796"/>
      <w:bookmarkStart w:id="17" w:name="_Toc21900"/>
      <w:bookmarkStart w:id="18" w:name="_Toc28625"/>
      <w:r>
        <w:rPr>
          <w:rFonts w:ascii="Times New Roman" w:hAnsi="Times New Roman" w:eastAsia="黑体"/>
          <w:b w:val="0"/>
          <w:bCs w:val="0"/>
          <w:sz w:val="24"/>
          <w:szCs w:val="24"/>
          <w:lang w:val="zh-CN"/>
        </w:rPr>
        <w:t>5  计量特性</w:t>
      </w:r>
      <w:bookmarkEnd w:id="16"/>
      <w:bookmarkEnd w:id="17"/>
      <w:bookmarkEnd w:id="18"/>
    </w:p>
    <w:p w14:paraId="7EB5EA5F">
      <w:pPr>
        <w:spacing w:line="360" w:lineRule="auto"/>
        <w:ind w:firstLine="480" w:firstLineChars="200"/>
        <w:rPr>
          <w:sz w:val="24"/>
        </w:rPr>
      </w:pPr>
      <w:r>
        <w:rPr>
          <w:rFonts w:hint="eastAsia"/>
          <w:sz w:val="24"/>
        </w:rPr>
        <w:t>干法进样激光粒度分析仪</w:t>
      </w:r>
      <w:r>
        <w:rPr>
          <w:sz w:val="24"/>
        </w:rPr>
        <w:t>计量特性指标见表1</w:t>
      </w:r>
      <w:r>
        <w:rPr>
          <w:rFonts w:hint="eastAsia"/>
          <w:sz w:val="24"/>
        </w:rPr>
        <w:t>、表2、表3</w:t>
      </w:r>
      <w:r>
        <w:rPr>
          <w:sz w:val="24"/>
        </w:rPr>
        <w:t>。</w:t>
      </w:r>
    </w:p>
    <w:p w14:paraId="14872C53">
      <w:pPr>
        <w:spacing w:line="360" w:lineRule="auto"/>
        <w:jc w:val="center"/>
        <w:rPr>
          <w:rFonts w:eastAsia="黑体"/>
          <w:szCs w:val="21"/>
        </w:rPr>
      </w:pPr>
      <w:r>
        <w:rPr>
          <w:rFonts w:eastAsia="黑体"/>
          <w:szCs w:val="21"/>
        </w:rPr>
        <w:t>表1</w:t>
      </w:r>
      <w:r>
        <w:rPr>
          <w:rFonts w:hint="eastAsia" w:eastAsia="黑体"/>
          <w:szCs w:val="21"/>
        </w:rPr>
        <w:t>示值误差的技术指标</w:t>
      </w:r>
    </w:p>
    <w:tbl>
      <w:tblPr>
        <w:tblStyle w:val="88"/>
        <w:tblW w:w="6237"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3118"/>
      </w:tblGrid>
      <w:tr w14:paraId="11E2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119" w:type="dxa"/>
            <w:vAlign w:val="center"/>
          </w:tcPr>
          <w:p w14:paraId="4F95CC51">
            <w:pPr>
              <w:jc w:val="center"/>
              <w:rPr>
                <w:rFonts w:ascii="仿宋" w:hAnsi="仿宋" w:eastAsia="仿宋"/>
                <w:b/>
                <w:bCs/>
                <w:sz w:val="24"/>
              </w:rPr>
            </w:pPr>
            <w:r>
              <w:rPr>
                <w:rFonts w:hint="eastAsia" w:ascii="仿宋" w:hAnsi="仿宋" w:eastAsia="仿宋"/>
                <w:b/>
                <w:bCs/>
                <w:sz w:val="24"/>
              </w:rPr>
              <w:t>测量范围</w:t>
            </w:r>
          </w:p>
        </w:tc>
        <w:tc>
          <w:tcPr>
            <w:tcW w:w="3118" w:type="dxa"/>
            <w:vAlign w:val="center"/>
          </w:tcPr>
          <w:p w14:paraId="6BCFBDE5">
            <w:pPr>
              <w:jc w:val="center"/>
              <w:rPr>
                <w:rFonts w:ascii="仿宋" w:hAnsi="仿宋" w:eastAsia="仿宋"/>
                <w:b/>
                <w:bCs/>
                <w:sz w:val="24"/>
              </w:rPr>
            </w:pPr>
            <w:r>
              <w:rPr>
                <w:rFonts w:hint="eastAsia" w:ascii="仿宋" w:hAnsi="仿宋" w:eastAsia="仿宋"/>
                <w:b/>
                <w:bCs/>
                <w:sz w:val="24"/>
              </w:rPr>
              <w:t>技术指标</w:t>
            </w:r>
          </w:p>
        </w:tc>
      </w:tr>
      <w:tr w14:paraId="5DD4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119" w:type="dxa"/>
            <w:vAlign w:val="center"/>
          </w:tcPr>
          <w:p w14:paraId="498FFA9A">
            <w:pPr>
              <w:jc w:val="center"/>
              <w:rPr>
                <w:rFonts w:ascii="仿宋" w:hAnsi="仿宋" w:eastAsia="仿宋"/>
                <w:b/>
                <w:bCs/>
                <w:sz w:val="24"/>
              </w:rPr>
            </w:pPr>
            <w:r>
              <w:rPr>
                <w:rFonts w:hint="eastAsia" w:ascii="仿宋" w:hAnsi="仿宋" w:eastAsia="仿宋"/>
                <w:b/>
                <w:bCs/>
                <w:sz w:val="24"/>
              </w:rPr>
              <w:t>1μm＜</w:t>
            </w:r>
            <m:oMath>
              <m:sSub>
                <m:sSubPr>
                  <m:ctrlPr>
                    <w:rPr>
                      <w:rFonts w:ascii="Cambria Math" w:hAnsi="Cambria Math" w:cs="宋体"/>
                      <w:b/>
                      <w:bCs/>
                    </w:rPr>
                  </m:ctrlPr>
                </m:sSubPr>
                <m:e>
                  <m:r>
                    <m:rPr>
                      <m:sty m:val="b"/>
                    </m:rPr>
                    <w:rPr>
                      <w:rFonts w:ascii="Cambria Math" w:hAnsi="Cambria Math" w:cs="宋体"/>
                    </w:rPr>
                    <m:t>D</m:t>
                  </m:r>
                  <m:ctrlPr>
                    <w:rPr>
                      <w:rFonts w:ascii="Cambria Math" w:hAnsi="Cambria Math" w:cs="宋体"/>
                      <w:b/>
                      <w:bCs/>
                    </w:rPr>
                  </m:ctrlPr>
                </m:e>
                <m:sub>
                  <m:r>
                    <m:rPr>
                      <m:sty m:val="b"/>
                    </m:rPr>
                    <w:rPr>
                      <w:rFonts w:ascii="Cambria Math" w:hAnsi="Cambria Math" w:cs="宋体"/>
                    </w:rPr>
                    <m:t>50s</m:t>
                  </m:r>
                  <m:ctrlPr>
                    <w:rPr>
                      <w:rFonts w:ascii="Cambria Math" w:hAnsi="Cambria Math" w:cs="宋体"/>
                      <w:b/>
                      <w:bCs/>
                    </w:rPr>
                  </m:ctrlPr>
                </m:sub>
              </m:sSub>
            </m:oMath>
            <w:r>
              <w:rPr>
                <w:rFonts w:hint="eastAsia" w:ascii="仿宋" w:hAnsi="仿宋" w:eastAsia="仿宋"/>
                <w:b/>
                <w:bCs/>
                <w:sz w:val="24"/>
              </w:rPr>
              <w:t>≤10μm</w:t>
            </w:r>
          </w:p>
        </w:tc>
        <w:tc>
          <w:tcPr>
            <w:tcW w:w="3118" w:type="dxa"/>
            <w:vAlign w:val="center"/>
          </w:tcPr>
          <w:p w14:paraId="773E6AFB">
            <w:pPr>
              <w:jc w:val="center"/>
              <w:rPr>
                <w:rFonts w:ascii="仿宋" w:hAnsi="仿宋" w:eastAsia="仿宋"/>
                <w:b/>
                <w:bCs/>
                <w:sz w:val="24"/>
              </w:rPr>
            </w:pPr>
            <w:r>
              <w:rPr>
                <w:rFonts w:ascii="仿宋" w:hAnsi="仿宋" w:eastAsia="仿宋"/>
                <w:b/>
                <w:bCs/>
                <w:sz w:val="24"/>
              </w:rPr>
              <w:t>±15%</w:t>
            </w:r>
          </w:p>
        </w:tc>
      </w:tr>
      <w:tr w14:paraId="5350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119" w:type="dxa"/>
            <w:vAlign w:val="center"/>
          </w:tcPr>
          <w:p w14:paraId="2DCB220D">
            <w:pPr>
              <w:jc w:val="center"/>
              <w:rPr>
                <w:rFonts w:ascii="仿宋" w:hAnsi="仿宋" w:eastAsia="仿宋"/>
                <w:b/>
                <w:bCs/>
                <w:sz w:val="24"/>
              </w:rPr>
            </w:pPr>
            <w:r>
              <w:rPr>
                <w:rFonts w:hint="eastAsia" w:ascii="仿宋" w:hAnsi="仿宋" w:eastAsia="仿宋"/>
                <w:b/>
                <w:bCs/>
                <w:sz w:val="24"/>
              </w:rPr>
              <w:t>10μm＜</w:t>
            </w:r>
            <m:oMath>
              <m:sSub>
                <m:sSubPr>
                  <m:ctrlPr>
                    <w:rPr>
                      <w:rFonts w:ascii="Cambria Math" w:hAnsi="Cambria Math" w:cs="宋体"/>
                      <w:b/>
                      <w:bCs/>
                    </w:rPr>
                  </m:ctrlPr>
                </m:sSubPr>
                <m:e>
                  <m:r>
                    <m:rPr>
                      <m:sty m:val="b"/>
                    </m:rPr>
                    <w:rPr>
                      <w:rFonts w:ascii="Cambria Math" w:hAnsi="Cambria Math" w:cs="宋体"/>
                    </w:rPr>
                    <m:t>D</m:t>
                  </m:r>
                  <m:ctrlPr>
                    <w:rPr>
                      <w:rFonts w:ascii="Cambria Math" w:hAnsi="Cambria Math" w:cs="宋体"/>
                      <w:b/>
                      <w:bCs/>
                    </w:rPr>
                  </m:ctrlPr>
                </m:e>
                <m:sub>
                  <m:r>
                    <m:rPr>
                      <m:sty m:val="b"/>
                    </m:rPr>
                    <w:rPr>
                      <w:rFonts w:ascii="Cambria Math" w:hAnsi="Cambria Math" w:cs="宋体"/>
                    </w:rPr>
                    <m:t>50s</m:t>
                  </m:r>
                  <m:ctrlPr>
                    <w:rPr>
                      <w:rFonts w:ascii="Cambria Math" w:hAnsi="Cambria Math" w:cs="宋体"/>
                      <w:b/>
                      <w:bCs/>
                    </w:rPr>
                  </m:ctrlPr>
                </m:sub>
              </m:sSub>
            </m:oMath>
            <w:r>
              <w:rPr>
                <w:rFonts w:hint="eastAsia" w:ascii="仿宋" w:hAnsi="仿宋" w:eastAsia="仿宋"/>
                <w:b/>
                <w:bCs/>
                <w:sz w:val="24"/>
              </w:rPr>
              <w:t>≤20μm</w:t>
            </w:r>
          </w:p>
        </w:tc>
        <w:tc>
          <w:tcPr>
            <w:tcW w:w="3118" w:type="dxa"/>
            <w:vAlign w:val="center"/>
          </w:tcPr>
          <w:p w14:paraId="187A596B">
            <w:pPr>
              <w:jc w:val="center"/>
              <w:rPr>
                <w:rFonts w:ascii="仿宋" w:hAnsi="仿宋" w:eastAsia="仿宋"/>
                <w:b/>
                <w:bCs/>
                <w:sz w:val="24"/>
              </w:rPr>
            </w:pPr>
            <w:r>
              <w:rPr>
                <w:rFonts w:ascii="仿宋" w:hAnsi="仿宋" w:eastAsia="仿宋"/>
                <w:b/>
                <w:bCs/>
                <w:sz w:val="24"/>
              </w:rPr>
              <w:t>±1</w:t>
            </w:r>
            <w:r>
              <w:rPr>
                <w:rFonts w:hint="eastAsia" w:ascii="仿宋" w:hAnsi="仿宋" w:eastAsia="仿宋"/>
                <w:b/>
                <w:bCs/>
                <w:sz w:val="24"/>
              </w:rPr>
              <w:t>2</w:t>
            </w:r>
            <w:r>
              <w:rPr>
                <w:rFonts w:ascii="仿宋" w:hAnsi="仿宋" w:eastAsia="仿宋"/>
                <w:b/>
                <w:bCs/>
                <w:sz w:val="24"/>
              </w:rPr>
              <w:t>%</w:t>
            </w:r>
          </w:p>
        </w:tc>
      </w:tr>
      <w:tr w14:paraId="2F79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119" w:type="dxa"/>
            <w:vAlign w:val="center"/>
          </w:tcPr>
          <w:p w14:paraId="72460C4F">
            <w:pPr>
              <w:jc w:val="center"/>
              <w:rPr>
                <w:rFonts w:ascii="仿宋" w:hAnsi="仿宋" w:eastAsia="仿宋"/>
                <w:b/>
                <w:bCs/>
                <w:sz w:val="24"/>
              </w:rPr>
            </w:pPr>
            <w:r>
              <w:rPr>
                <w:rFonts w:hint="eastAsia" w:ascii="仿宋" w:hAnsi="仿宋" w:eastAsia="仿宋"/>
                <w:b/>
                <w:bCs/>
                <w:sz w:val="24"/>
              </w:rPr>
              <w:t>20μm＜</w:t>
            </w:r>
            <m:oMath>
              <m:sSub>
                <m:sSubPr>
                  <m:ctrlPr>
                    <w:rPr>
                      <w:rFonts w:ascii="Cambria Math" w:hAnsi="Cambria Math" w:cs="宋体"/>
                      <w:b/>
                      <w:bCs/>
                    </w:rPr>
                  </m:ctrlPr>
                </m:sSubPr>
                <m:e>
                  <m:r>
                    <m:rPr>
                      <m:sty m:val="b"/>
                    </m:rPr>
                    <w:rPr>
                      <w:rFonts w:ascii="Cambria Math" w:hAnsi="Cambria Math" w:cs="宋体"/>
                    </w:rPr>
                    <m:t>D</m:t>
                  </m:r>
                  <m:ctrlPr>
                    <w:rPr>
                      <w:rFonts w:ascii="Cambria Math" w:hAnsi="Cambria Math" w:cs="宋体"/>
                      <w:b/>
                      <w:bCs/>
                    </w:rPr>
                  </m:ctrlPr>
                </m:e>
                <m:sub>
                  <m:r>
                    <m:rPr>
                      <m:sty m:val="b"/>
                    </m:rPr>
                    <w:rPr>
                      <w:rFonts w:ascii="Cambria Math" w:hAnsi="Cambria Math" w:cs="宋体"/>
                    </w:rPr>
                    <m:t>50s</m:t>
                  </m:r>
                  <m:ctrlPr>
                    <w:rPr>
                      <w:rFonts w:ascii="Cambria Math" w:hAnsi="Cambria Math" w:cs="宋体"/>
                      <w:b/>
                      <w:bCs/>
                    </w:rPr>
                  </m:ctrlPr>
                </m:sub>
              </m:sSub>
            </m:oMath>
          </w:p>
        </w:tc>
        <w:tc>
          <w:tcPr>
            <w:tcW w:w="3118" w:type="dxa"/>
            <w:vAlign w:val="center"/>
          </w:tcPr>
          <w:p w14:paraId="4A4D8ED2">
            <w:pPr>
              <w:jc w:val="center"/>
              <w:rPr>
                <w:rFonts w:ascii="仿宋" w:hAnsi="仿宋" w:eastAsia="仿宋"/>
                <w:b/>
                <w:bCs/>
                <w:sz w:val="24"/>
              </w:rPr>
            </w:pPr>
            <w:r>
              <w:rPr>
                <w:rFonts w:ascii="仿宋" w:hAnsi="仿宋" w:eastAsia="仿宋"/>
                <w:b/>
                <w:bCs/>
                <w:sz w:val="24"/>
              </w:rPr>
              <w:t>±1</w:t>
            </w:r>
            <w:r>
              <w:rPr>
                <w:rFonts w:hint="eastAsia" w:ascii="仿宋" w:hAnsi="仿宋" w:eastAsia="仿宋"/>
                <w:b/>
                <w:bCs/>
                <w:sz w:val="24"/>
              </w:rPr>
              <w:t>2</w:t>
            </w:r>
            <w:r>
              <w:rPr>
                <w:rFonts w:ascii="仿宋" w:hAnsi="仿宋" w:eastAsia="仿宋"/>
                <w:b/>
                <w:bCs/>
                <w:sz w:val="24"/>
              </w:rPr>
              <w:t>%</w:t>
            </w:r>
          </w:p>
        </w:tc>
      </w:tr>
    </w:tbl>
    <w:p w14:paraId="56F6DCF9">
      <w:pPr>
        <w:spacing w:line="360" w:lineRule="auto"/>
        <w:jc w:val="center"/>
        <w:rPr>
          <w:rFonts w:ascii="仿宋" w:hAnsi="仿宋" w:eastAsia="仿宋"/>
          <w:sz w:val="24"/>
        </w:rPr>
      </w:pPr>
      <w:bookmarkStart w:id="19" w:name="_Toc427490800"/>
      <w:bookmarkStart w:id="20" w:name="_Toc15270"/>
      <w:bookmarkStart w:id="21" w:name="_Toc14451"/>
      <w:r>
        <w:rPr>
          <w:rFonts w:ascii="仿宋" w:hAnsi="仿宋" w:eastAsia="仿宋"/>
          <w:sz w:val="24"/>
        </w:rPr>
        <w:t>表</w:t>
      </w:r>
      <w:r>
        <w:rPr>
          <w:rFonts w:hint="eastAsia" w:ascii="仿宋" w:hAnsi="仿宋" w:eastAsia="仿宋"/>
          <w:sz w:val="24"/>
        </w:rPr>
        <w:t>2重复性的技术指标</w:t>
      </w:r>
    </w:p>
    <w:tbl>
      <w:tblPr>
        <w:tblStyle w:val="88"/>
        <w:tblW w:w="6237"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3118"/>
      </w:tblGrid>
      <w:tr w14:paraId="6B16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119" w:type="dxa"/>
            <w:vAlign w:val="center"/>
          </w:tcPr>
          <w:p w14:paraId="05206C32">
            <w:pPr>
              <w:jc w:val="center"/>
              <w:rPr>
                <w:rFonts w:ascii="仿宋" w:hAnsi="仿宋" w:eastAsia="仿宋"/>
                <w:b/>
                <w:bCs/>
                <w:sz w:val="24"/>
              </w:rPr>
            </w:pPr>
            <w:r>
              <w:rPr>
                <w:rFonts w:hint="eastAsia" w:ascii="仿宋" w:hAnsi="仿宋" w:eastAsia="仿宋"/>
                <w:b/>
                <w:bCs/>
                <w:sz w:val="24"/>
              </w:rPr>
              <w:t>计量特性</w:t>
            </w:r>
          </w:p>
        </w:tc>
        <w:tc>
          <w:tcPr>
            <w:tcW w:w="3118" w:type="dxa"/>
            <w:vAlign w:val="center"/>
          </w:tcPr>
          <w:p w14:paraId="1420B013">
            <w:pPr>
              <w:jc w:val="center"/>
              <w:rPr>
                <w:rFonts w:ascii="仿宋" w:hAnsi="仿宋" w:eastAsia="仿宋"/>
                <w:b/>
                <w:bCs/>
                <w:sz w:val="24"/>
              </w:rPr>
            </w:pPr>
            <w:r>
              <w:rPr>
                <w:rFonts w:hint="eastAsia" w:ascii="仿宋" w:hAnsi="仿宋" w:eastAsia="仿宋"/>
                <w:b/>
                <w:bCs/>
                <w:sz w:val="24"/>
              </w:rPr>
              <w:t>技术指标</w:t>
            </w:r>
          </w:p>
        </w:tc>
      </w:tr>
      <w:tr w14:paraId="3538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119" w:type="dxa"/>
            <w:vAlign w:val="center"/>
          </w:tcPr>
          <w:p w14:paraId="67E610E5">
            <w:pPr>
              <w:jc w:val="center"/>
              <w:rPr>
                <w:rFonts w:ascii="仿宋" w:hAnsi="仿宋" w:eastAsia="仿宋"/>
                <w:b/>
                <w:bCs/>
                <w:sz w:val="24"/>
              </w:rPr>
            </w:pPr>
            <w:r>
              <w:rPr>
                <w:rFonts w:hint="eastAsia" w:ascii="仿宋" w:hAnsi="仿宋" w:eastAsia="仿宋"/>
                <w:b/>
                <w:bCs/>
                <w:sz w:val="24"/>
              </w:rPr>
              <w:t>重复性</w:t>
            </w:r>
          </w:p>
        </w:tc>
        <w:tc>
          <w:tcPr>
            <w:tcW w:w="3118" w:type="dxa"/>
            <w:vAlign w:val="center"/>
          </w:tcPr>
          <w:p w14:paraId="7E858A12">
            <w:pPr>
              <w:jc w:val="center"/>
              <w:rPr>
                <w:rFonts w:ascii="仿宋" w:hAnsi="仿宋" w:eastAsia="仿宋"/>
                <w:b/>
                <w:bCs/>
                <w:sz w:val="24"/>
              </w:rPr>
            </w:pPr>
            <w:r>
              <w:rPr>
                <w:rFonts w:hint="eastAsia" w:ascii="仿宋" w:hAnsi="仿宋" w:eastAsia="仿宋"/>
                <w:b/>
                <w:bCs/>
                <w:sz w:val="24"/>
              </w:rPr>
              <w:t>≤3</w:t>
            </w:r>
            <w:r>
              <w:rPr>
                <w:rFonts w:ascii="仿宋" w:hAnsi="仿宋" w:eastAsia="仿宋"/>
                <w:b/>
                <w:bCs/>
                <w:sz w:val="24"/>
              </w:rPr>
              <w:t>%</w:t>
            </w:r>
          </w:p>
        </w:tc>
      </w:tr>
    </w:tbl>
    <w:p w14:paraId="660F207F">
      <w:pPr>
        <w:spacing w:line="360" w:lineRule="auto"/>
        <w:jc w:val="center"/>
        <w:rPr>
          <w:rFonts w:ascii="仿宋" w:hAnsi="仿宋" w:eastAsia="仿宋"/>
          <w:sz w:val="24"/>
        </w:rPr>
      </w:pPr>
      <w:r>
        <w:rPr>
          <w:rFonts w:ascii="仿宋" w:hAnsi="仿宋" w:eastAsia="仿宋"/>
          <w:sz w:val="24"/>
        </w:rPr>
        <w:t>表</w:t>
      </w:r>
      <w:r>
        <w:rPr>
          <w:rFonts w:hint="eastAsia" w:ascii="仿宋" w:hAnsi="仿宋" w:eastAsia="仿宋"/>
          <w:sz w:val="24"/>
        </w:rPr>
        <w:t>3分辨力的技术指标</w:t>
      </w:r>
    </w:p>
    <w:tbl>
      <w:tblPr>
        <w:tblStyle w:val="88"/>
        <w:tblW w:w="6237"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410"/>
        <w:gridCol w:w="1417"/>
      </w:tblGrid>
      <w:tr w14:paraId="7D8E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10" w:type="dxa"/>
            <w:vAlign w:val="center"/>
          </w:tcPr>
          <w:p w14:paraId="0CAD772E">
            <w:pPr>
              <w:jc w:val="center"/>
              <w:rPr>
                <w:rFonts w:ascii="仿宋" w:hAnsi="仿宋" w:eastAsia="仿宋"/>
                <w:b/>
                <w:bCs/>
                <w:sz w:val="24"/>
              </w:rPr>
            </w:pPr>
            <w:r>
              <w:rPr>
                <w:rFonts w:hint="eastAsia" w:ascii="仿宋" w:hAnsi="仿宋" w:eastAsia="仿宋"/>
                <w:b/>
                <w:bCs/>
                <w:sz w:val="24"/>
              </w:rPr>
              <w:t>计量特性</w:t>
            </w:r>
          </w:p>
        </w:tc>
        <w:tc>
          <w:tcPr>
            <w:tcW w:w="3827" w:type="dxa"/>
            <w:gridSpan w:val="2"/>
            <w:vAlign w:val="center"/>
          </w:tcPr>
          <w:p w14:paraId="3D2D39D4">
            <w:pPr>
              <w:jc w:val="center"/>
              <w:rPr>
                <w:rFonts w:ascii="仿宋" w:hAnsi="仿宋" w:eastAsia="仿宋"/>
                <w:b/>
                <w:bCs/>
                <w:sz w:val="24"/>
              </w:rPr>
            </w:pPr>
            <w:r>
              <w:rPr>
                <w:rFonts w:hint="eastAsia" w:ascii="仿宋" w:hAnsi="仿宋" w:eastAsia="仿宋"/>
                <w:b/>
                <w:bCs/>
                <w:sz w:val="24"/>
              </w:rPr>
              <w:t>技术指标</w:t>
            </w:r>
          </w:p>
        </w:tc>
      </w:tr>
      <w:tr w14:paraId="709A4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410" w:type="dxa"/>
            <w:vMerge w:val="restart"/>
            <w:vAlign w:val="center"/>
          </w:tcPr>
          <w:p w14:paraId="2BBA2A27">
            <w:pPr>
              <w:jc w:val="center"/>
              <w:rPr>
                <w:rFonts w:ascii="仿宋" w:hAnsi="仿宋" w:eastAsia="仿宋"/>
                <w:b/>
                <w:bCs/>
                <w:sz w:val="24"/>
              </w:rPr>
            </w:pPr>
            <w:r>
              <w:rPr>
                <w:rFonts w:hint="eastAsia" w:ascii="仿宋" w:hAnsi="仿宋" w:eastAsia="仿宋"/>
                <w:b/>
                <w:bCs/>
                <w:sz w:val="24"/>
              </w:rPr>
              <w:t>分辨力</w:t>
            </w:r>
          </w:p>
        </w:tc>
        <w:tc>
          <w:tcPr>
            <w:tcW w:w="2410" w:type="dxa"/>
            <w:vAlign w:val="center"/>
          </w:tcPr>
          <w:p w14:paraId="2367F261">
            <w:pPr>
              <w:jc w:val="center"/>
              <w:rPr>
                <w:rFonts w:ascii="仿宋" w:hAnsi="仿宋" w:eastAsia="仿宋"/>
                <w:b/>
                <w:bCs/>
                <w:sz w:val="24"/>
              </w:rPr>
            </w:pPr>
            <w:r>
              <w:rPr>
                <w:rFonts w:hint="eastAsia" w:ascii="仿宋" w:hAnsi="仿宋" w:eastAsia="仿宋"/>
                <w:b/>
                <w:bCs/>
                <w:sz w:val="24"/>
              </w:rPr>
              <w:t>(1～20) μm的两个单峰能分开</w:t>
            </w:r>
          </w:p>
        </w:tc>
        <w:tc>
          <w:tcPr>
            <w:tcW w:w="1417" w:type="dxa"/>
            <w:vAlign w:val="center"/>
          </w:tcPr>
          <w:p w14:paraId="41FEF841">
            <w:pPr>
              <w:jc w:val="center"/>
              <w:rPr>
                <w:rFonts w:ascii="仿宋" w:hAnsi="仿宋" w:eastAsia="仿宋"/>
                <w:b/>
                <w:bCs/>
                <w:sz w:val="24"/>
              </w:rPr>
            </w:pPr>
            <w:r>
              <w:rPr>
                <w:rFonts w:hint="eastAsia" w:ascii="仿宋" w:hAnsi="仿宋" w:eastAsia="仿宋"/>
                <w:b/>
                <w:bCs/>
                <w:sz w:val="24"/>
              </w:rPr>
              <w:t>A级</w:t>
            </w:r>
          </w:p>
        </w:tc>
      </w:tr>
      <w:tr w14:paraId="1069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10" w:type="dxa"/>
            <w:vMerge w:val="continue"/>
            <w:vAlign w:val="center"/>
          </w:tcPr>
          <w:p w14:paraId="4ADE768D">
            <w:pPr>
              <w:jc w:val="center"/>
              <w:rPr>
                <w:rFonts w:ascii="仿宋" w:hAnsi="仿宋" w:eastAsia="仿宋"/>
                <w:b/>
                <w:bCs/>
                <w:sz w:val="24"/>
              </w:rPr>
            </w:pPr>
          </w:p>
        </w:tc>
        <w:tc>
          <w:tcPr>
            <w:tcW w:w="2410" w:type="dxa"/>
            <w:vAlign w:val="center"/>
          </w:tcPr>
          <w:p w14:paraId="307B2C47">
            <w:pPr>
              <w:jc w:val="center"/>
              <w:rPr>
                <w:rFonts w:ascii="仿宋" w:hAnsi="仿宋" w:eastAsia="仿宋"/>
                <w:b/>
                <w:bCs/>
                <w:sz w:val="24"/>
              </w:rPr>
            </w:pPr>
            <w:r>
              <w:rPr>
                <w:rFonts w:hint="eastAsia" w:ascii="仿宋" w:hAnsi="仿宋" w:eastAsia="仿宋"/>
                <w:b/>
                <w:bCs/>
                <w:sz w:val="24"/>
              </w:rPr>
              <w:t>(1～20) μm的两个单峰不能分开</w:t>
            </w:r>
          </w:p>
        </w:tc>
        <w:tc>
          <w:tcPr>
            <w:tcW w:w="1417" w:type="dxa"/>
            <w:vAlign w:val="center"/>
          </w:tcPr>
          <w:p w14:paraId="0F4F6454">
            <w:pPr>
              <w:jc w:val="center"/>
              <w:rPr>
                <w:rFonts w:ascii="仿宋" w:hAnsi="仿宋" w:eastAsia="仿宋"/>
                <w:b/>
                <w:bCs/>
                <w:sz w:val="24"/>
              </w:rPr>
            </w:pPr>
            <w:r>
              <w:rPr>
                <w:rFonts w:hint="eastAsia" w:ascii="仿宋" w:hAnsi="仿宋" w:eastAsia="仿宋"/>
                <w:b/>
                <w:bCs/>
                <w:sz w:val="24"/>
              </w:rPr>
              <w:t>B级</w:t>
            </w:r>
          </w:p>
        </w:tc>
      </w:tr>
    </w:tbl>
    <w:p w14:paraId="263C8AFD">
      <w:pPr>
        <w:spacing w:line="360" w:lineRule="auto"/>
        <w:jc w:val="center"/>
        <w:rPr>
          <w:rFonts w:eastAsia="黑体"/>
          <w:szCs w:val="21"/>
        </w:rPr>
      </w:pPr>
    </w:p>
    <w:p w14:paraId="702BEEA6">
      <w:pPr>
        <w:pStyle w:val="4"/>
        <w:spacing w:line="360" w:lineRule="auto"/>
        <w:rPr>
          <w:rFonts w:ascii="Times New Roman" w:hAnsi="Times New Roman" w:eastAsia="黑体"/>
          <w:b w:val="0"/>
          <w:bCs w:val="0"/>
          <w:sz w:val="24"/>
          <w:szCs w:val="24"/>
          <w:lang w:val="zh-CN"/>
        </w:rPr>
      </w:pPr>
      <w:r>
        <w:rPr>
          <w:rFonts w:ascii="Times New Roman" w:hAnsi="Times New Roman" w:eastAsia="黑体"/>
          <w:b w:val="0"/>
          <w:bCs w:val="0"/>
          <w:sz w:val="24"/>
          <w:szCs w:val="24"/>
          <w:lang w:val="zh-CN"/>
        </w:rPr>
        <w:t>6  校准条件</w:t>
      </w:r>
      <w:bookmarkEnd w:id="19"/>
      <w:bookmarkEnd w:id="20"/>
      <w:bookmarkEnd w:id="21"/>
    </w:p>
    <w:p w14:paraId="4BD5C425">
      <w:pPr>
        <w:pStyle w:val="8"/>
        <w:spacing w:line="360" w:lineRule="auto"/>
        <w:rPr>
          <w:rFonts w:ascii="Times New Roman" w:hAnsi="Times New Roman"/>
          <w:b w:val="0"/>
          <w:bCs w:val="0"/>
        </w:rPr>
      </w:pPr>
      <w:bookmarkStart w:id="22" w:name="_Toc427490801"/>
      <w:bookmarkStart w:id="23" w:name="_Toc30597"/>
      <w:bookmarkStart w:id="24" w:name="_Toc6897"/>
      <w:r>
        <w:rPr>
          <w:rFonts w:ascii="Times New Roman" w:hAnsi="Times New Roman"/>
          <w:b w:val="0"/>
          <w:bCs w:val="0"/>
        </w:rPr>
        <w:t>6.1  环境条件</w:t>
      </w:r>
    </w:p>
    <w:p w14:paraId="679B6D44">
      <w:pPr>
        <w:pStyle w:val="8"/>
        <w:spacing w:line="360" w:lineRule="auto"/>
        <w:rPr>
          <w:rFonts w:ascii="Times New Roman" w:hAnsi="Times New Roman"/>
          <w:b w:val="0"/>
        </w:rPr>
      </w:pPr>
      <w:r>
        <w:rPr>
          <w:rFonts w:ascii="Times New Roman" w:hAnsi="Times New Roman"/>
          <w:b w:val="0"/>
          <w:bCs w:val="0"/>
        </w:rPr>
        <w:t>6.1</w:t>
      </w:r>
      <w:r>
        <w:rPr>
          <w:rFonts w:ascii="Times New Roman" w:hAnsi="Times New Roman"/>
          <w:b w:val="0"/>
        </w:rPr>
        <w:t xml:space="preserve">.1  </w:t>
      </w:r>
      <w:r>
        <w:rPr>
          <w:rFonts w:ascii="Times New Roman" w:hAnsi="Times New Roman"/>
          <w:b w:val="0"/>
          <w:lang w:val="zh-CN"/>
        </w:rPr>
        <w:t>环境温度</w:t>
      </w:r>
      <w:r>
        <w:rPr>
          <w:rFonts w:ascii="Times New Roman" w:hAnsi="Times New Roman"/>
          <w:b w:val="0"/>
        </w:rPr>
        <w:t>：</w:t>
      </w:r>
      <w:r>
        <w:rPr>
          <w:rFonts w:ascii="Times New Roman" w:hAnsi="Times New Roman"/>
          <w:b w:val="0"/>
          <w:lang w:val="zh-CN"/>
        </w:rPr>
        <w:t>（15~35）℃</w:t>
      </w:r>
      <w:r>
        <w:rPr>
          <w:rFonts w:ascii="Times New Roman" w:hAnsi="Times New Roman"/>
          <w:b w:val="0"/>
        </w:rPr>
        <w:t>；</w:t>
      </w:r>
    </w:p>
    <w:p w14:paraId="30405056">
      <w:pPr>
        <w:pStyle w:val="8"/>
        <w:spacing w:line="360" w:lineRule="auto"/>
        <w:rPr>
          <w:rFonts w:ascii="Times New Roman" w:hAnsi="Times New Roman"/>
          <w:b w:val="0"/>
        </w:rPr>
      </w:pPr>
      <w:r>
        <w:rPr>
          <w:rFonts w:ascii="Times New Roman" w:hAnsi="Times New Roman"/>
          <w:b w:val="0"/>
          <w:bCs w:val="0"/>
        </w:rPr>
        <w:t>6.1</w:t>
      </w:r>
      <w:r>
        <w:rPr>
          <w:rFonts w:ascii="Times New Roman" w:hAnsi="Times New Roman"/>
          <w:b w:val="0"/>
        </w:rPr>
        <w:t>.2  相对</w:t>
      </w:r>
      <w:r>
        <w:rPr>
          <w:rFonts w:ascii="Times New Roman" w:hAnsi="Times New Roman"/>
          <w:b w:val="0"/>
          <w:lang w:val="zh-CN"/>
        </w:rPr>
        <w:t>湿度</w:t>
      </w:r>
      <w:r>
        <w:rPr>
          <w:rFonts w:ascii="Times New Roman" w:hAnsi="Times New Roman"/>
          <w:b w:val="0"/>
        </w:rPr>
        <w:t>：≤</w:t>
      </w:r>
      <w:r>
        <w:rPr>
          <w:rFonts w:ascii="Times New Roman" w:hAnsi="Times New Roman"/>
          <w:b w:val="0"/>
          <w:lang w:val="zh-CN"/>
        </w:rPr>
        <w:t>85%</w:t>
      </w:r>
      <w:r>
        <w:rPr>
          <w:rFonts w:ascii="Times New Roman" w:hAnsi="Times New Roman"/>
          <w:b w:val="0"/>
        </w:rPr>
        <w:t>。</w:t>
      </w:r>
    </w:p>
    <w:p w14:paraId="5A42517F">
      <w:pPr>
        <w:spacing w:line="360" w:lineRule="auto"/>
        <w:ind w:firstLine="600" w:firstLineChars="250"/>
        <w:rPr>
          <w:rFonts w:eastAsia="仿宋"/>
          <w:sz w:val="24"/>
        </w:rPr>
      </w:pPr>
      <w:r>
        <w:rPr>
          <w:rFonts w:eastAsia="仿宋"/>
          <w:sz w:val="24"/>
        </w:rPr>
        <w:t>注：上述条件与制造商的产品规定不一致时，以产品说明书规定的环境条件为准。</w:t>
      </w:r>
    </w:p>
    <w:p w14:paraId="5DB60B0E">
      <w:pPr>
        <w:pStyle w:val="8"/>
        <w:spacing w:line="360" w:lineRule="auto"/>
        <w:ind w:left="2760" w:hanging="2760" w:hangingChars="1150"/>
        <w:jc w:val="left"/>
        <w:rPr>
          <w:rFonts w:ascii="Times New Roman" w:hAnsi="Times New Roman"/>
          <w:b w:val="0"/>
          <w:bCs w:val="0"/>
          <w:kern w:val="2"/>
        </w:rPr>
      </w:pPr>
      <w:r>
        <w:rPr>
          <w:rFonts w:ascii="Times New Roman" w:hAnsi="Times New Roman"/>
          <w:b w:val="0"/>
          <w:bCs w:val="0"/>
        </w:rPr>
        <w:t>6.</w:t>
      </w:r>
      <w:bookmarkEnd w:id="22"/>
      <w:bookmarkEnd w:id="23"/>
      <w:bookmarkEnd w:id="24"/>
      <w:r>
        <w:rPr>
          <w:rFonts w:ascii="Times New Roman" w:hAnsi="Times New Roman"/>
          <w:b w:val="0"/>
          <w:bCs w:val="0"/>
        </w:rPr>
        <w:t xml:space="preserve">2  </w:t>
      </w:r>
      <w:bookmarkStart w:id="25" w:name="_Toc427490803"/>
      <w:bookmarkStart w:id="26" w:name="_Toc28209"/>
      <w:bookmarkStart w:id="27" w:name="_Toc18829"/>
      <w:r>
        <w:rPr>
          <w:rFonts w:hint="eastAsia" w:ascii="Times New Roman" w:hAnsi="Times New Roman"/>
          <w:b w:val="0"/>
          <w:bCs w:val="0"/>
        </w:rPr>
        <w:t>测量标准：</w:t>
      </w:r>
      <w:r>
        <w:rPr>
          <w:rFonts w:hint="eastAsia" w:ascii="Times New Roman" w:hAnsi="Times New Roman"/>
          <w:b w:val="0"/>
          <w:bCs w:val="0"/>
          <w:kern w:val="2"/>
        </w:rPr>
        <w:t>国家有证标准物质。具体指标见表 4。</w:t>
      </w:r>
      <w:bookmarkEnd w:id="25"/>
      <w:bookmarkEnd w:id="26"/>
      <w:bookmarkEnd w:id="27"/>
    </w:p>
    <w:p w14:paraId="1F98593B">
      <w:pPr>
        <w:jc w:val="center"/>
        <w:rPr>
          <w:rFonts w:ascii="仿宋" w:hAnsi="仿宋" w:eastAsia="仿宋"/>
          <w:sz w:val="24"/>
        </w:rPr>
      </w:pPr>
      <w:r>
        <w:rPr>
          <w:rFonts w:hint="eastAsia" w:ascii="仿宋" w:hAnsi="仿宋" w:eastAsia="仿宋"/>
          <w:sz w:val="24"/>
        </w:rPr>
        <w:t>表 4 校准用标准物质技术要求</w:t>
      </w:r>
    </w:p>
    <w:tbl>
      <w:tblPr>
        <w:tblStyle w:val="88"/>
        <w:tblpPr w:leftFromText="180" w:rightFromText="180" w:vertAnchor="text" w:horzAnchor="margin" w:tblpXSpec="right" w:tblpY="8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827"/>
        <w:gridCol w:w="3085"/>
      </w:tblGrid>
      <w:tr w14:paraId="5498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Align w:val="center"/>
          </w:tcPr>
          <w:p w14:paraId="6179E9FB">
            <w:pPr>
              <w:jc w:val="center"/>
              <w:rPr>
                <w:color w:val="000000"/>
                <w:szCs w:val="21"/>
              </w:rPr>
            </w:pPr>
            <w:r>
              <w:rPr>
                <w:rFonts w:hint="eastAsia"/>
                <w:color w:val="000000"/>
                <w:szCs w:val="21"/>
              </w:rPr>
              <w:t>编号</w:t>
            </w:r>
          </w:p>
        </w:tc>
        <w:tc>
          <w:tcPr>
            <w:tcW w:w="3827" w:type="dxa"/>
            <w:vAlign w:val="center"/>
          </w:tcPr>
          <w:p w14:paraId="5553F886">
            <w:pPr>
              <w:jc w:val="center"/>
              <w:rPr>
                <w:color w:val="000000"/>
                <w:szCs w:val="21"/>
              </w:rPr>
            </w:pPr>
            <w:r>
              <w:rPr>
                <w:rFonts w:hint="eastAsia"/>
                <w:b/>
                <w:bCs/>
                <w:sz w:val="24"/>
              </w:rPr>
              <w:t>编号 D</w:t>
            </w:r>
            <w:r>
              <w:rPr>
                <w:rFonts w:hint="eastAsia"/>
                <w:b/>
                <w:bCs/>
                <w:sz w:val="24"/>
                <w:vertAlign w:val="subscript"/>
              </w:rPr>
              <w:t>50</w:t>
            </w:r>
            <w:r>
              <w:rPr>
                <w:rFonts w:hint="eastAsia"/>
                <w:b/>
                <w:bCs/>
                <w:sz w:val="24"/>
              </w:rPr>
              <w:t>范围</w:t>
            </w:r>
          </w:p>
        </w:tc>
        <w:tc>
          <w:tcPr>
            <w:tcW w:w="3085" w:type="dxa"/>
            <w:vAlign w:val="center"/>
          </w:tcPr>
          <w:p w14:paraId="7BB004D6">
            <w:pPr>
              <w:jc w:val="center"/>
              <w:rPr>
                <w:color w:val="000000"/>
                <w:szCs w:val="21"/>
              </w:rPr>
            </w:pPr>
            <w:r>
              <w:rPr>
                <w:rFonts w:hint="eastAsia"/>
                <w:b/>
                <w:bCs/>
                <w:sz w:val="24"/>
              </w:rPr>
              <w:t>相对扩展不确定度</w:t>
            </w:r>
          </w:p>
        </w:tc>
      </w:tr>
      <w:tr w14:paraId="1B7B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985" w:type="dxa"/>
            <w:vAlign w:val="center"/>
          </w:tcPr>
          <w:p w14:paraId="10560D03">
            <w:pPr>
              <w:jc w:val="center"/>
              <w:rPr>
                <w:color w:val="000000"/>
                <w:szCs w:val="21"/>
              </w:rPr>
            </w:pPr>
            <w:r>
              <w:rPr>
                <w:rFonts w:hint="eastAsia"/>
                <w:b/>
                <w:bCs/>
                <w:sz w:val="24"/>
              </w:rPr>
              <w:t>1 #</w:t>
            </w:r>
          </w:p>
        </w:tc>
        <w:tc>
          <w:tcPr>
            <w:tcW w:w="3827" w:type="dxa"/>
            <w:vAlign w:val="center"/>
          </w:tcPr>
          <w:p w14:paraId="14BA1AA5">
            <w:pPr>
              <w:jc w:val="center"/>
              <w:rPr>
                <w:color w:val="000000"/>
                <w:szCs w:val="21"/>
              </w:rPr>
            </w:pPr>
            <w:r>
              <w:rPr>
                <w:rFonts w:hint="eastAsia"/>
                <w:b/>
                <w:bCs/>
                <w:sz w:val="24"/>
              </w:rPr>
              <w:t>1μm＜D</w:t>
            </w:r>
            <w:r>
              <w:rPr>
                <w:rFonts w:hint="eastAsia"/>
                <w:b/>
                <w:bCs/>
                <w:sz w:val="24"/>
                <w:vertAlign w:val="subscript"/>
              </w:rPr>
              <w:t>50</w:t>
            </w:r>
            <w:r>
              <w:rPr>
                <w:rFonts w:hint="eastAsia"/>
                <w:b/>
                <w:bCs/>
                <w:sz w:val="24"/>
              </w:rPr>
              <w:t>≤10μm</w:t>
            </w:r>
          </w:p>
        </w:tc>
        <w:tc>
          <w:tcPr>
            <w:tcW w:w="3085" w:type="dxa"/>
            <w:vMerge w:val="restart"/>
            <w:vAlign w:val="center"/>
          </w:tcPr>
          <w:p w14:paraId="43398D10">
            <w:pPr>
              <w:jc w:val="center"/>
              <w:rPr>
                <w:color w:val="000000"/>
                <w:szCs w:val="21"/>
              </w:rPr>
            </w:pPr>
            <w:r>
              <w:rPr>
                <w:rFonts w:hint="eastAsia"/>
                <w:color w:val="000000"/>
                <w:szCs w:val="21"/>
              </w:rPr>
              <w:t>≤3%（</w:t>
            </w:r>
            <w:r>
              <w:rPr>
                <w:rFonts w:hint="eastAsia"/>
                <w:i/>
                <w:color w:val="000000"/>
                <w:szCs w:val="21"/>
              </w:rPr>
              <w:t>k</w:t>
            </w:r>
            <w:r>
              <w:rPr>
                <w:rFonts w:hint="eastAsia"/>
                <w:color w:val="000000"/>
                <w:szCs w:val="21"/>
              </w:rPr>
              <w:t>=2）</w:t>
            </w:r>
          </w:p>
        </w:tc>
      </w:tr>
      <w:tr w14:paraId="17FA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985" w:type="dxa"/>
            <w:vAlign w:val="center"/>
          </w:tcPr>
          <w:p w14:paraId="32DFFF27">
            <w:pPr>
              <w:jc w:val="center"/>
              <w:rPr>
                <w:color w:val="000000"/>
                <w:szCs w:val="21"/>
              </w:rPr>
            </w:pPr>
            <w:r>
              <w:rPr>
                <w:rFonts w:hint="eastAsia"/>
                <w:b/>
                <w:bCs/>
                <w:sz w:val="24"/>
              </w:rPr>
              <w:t>2 #</w:t>
            </w:r>
          </w:p>
        </w:tc>
        <w:tc>
          <w:tcPr>
            <w:tcW w:w="3827" w:type="dxa"/>
            <w:vAlign w:val="center"/>
          </w:tcPr>
          <w:p w14:paraId="312C0D0C">
            <w:pPr>
              <w:jc w:val="center"/>
              <w:rPr>
                <w:color w:val="000000"/>
                <w:szCs w:val="21"/>
              </w:rPr>
            </w:pPr>
            <w:r>
              <w:rPr>
                <w:rFonts w:hint="eastAsia"/>
                <w:b/>
                <w:bCs/>
                <w:sz w:val="24"/>
              </w:rPr>
              <w:t>10μm＜D</w:t>
            </w:r>
            <w:r>
              <w:rPr>
                <w:rFonts w:hint="eastAsia"/>
                <w:b/>
                <w:bCs/>
                <w:sz w:val="24"/>
                <w:vertAlign w:val="subscript"/>
              </w:rPr>
              <w:t>50</w:t>
            </w:r>
            <w:r>
              <w:rPr>
                <w:rFonts w:hint="eastAsia"/>
                <w:b/>
                <w:bCs/>
                <w:sz w:val="24"/>
              </w:rPr>
              <w:t>≤20μm</w:t>
            </w:r>
          </w:p>
        </w:tc>
        <w:tc>
          <w:tcPr>
            <w:tcW w:w="3085" w:type="dxa"/>
            <w:vMerge w:val="continue"/>
            <w:vAlign w:val="center"/>
          </w:tcPr>
          <w:p w14:paraId="3683A7B8">
            <w:pPr>
              <w:jc w:val="center"/>
              <w:rPr>
                <w:color w:val="000000"/>
                <w:szCs w:val="21"/>
              </w:rPr>
            </w:pPr>
          </w:p>
        </w:tc>
      </w:tr>
      <w:tr w14:paraId="35B9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985" w:type="dxa"/>
            <w:vAlign w:val="center"/>
          </w:tcPr>
          <w:p w14:paraId="13CC5180">
            <w:pPr>
              <w:jc w:val="center"/>
              <w:rPr>
                <w:b/>
                <w:bCs/>
                <w:sz w:val="24"/>
              </w:rPr>
            </w:pPr>
            <w:r>
              <w:rPr>
                <w:rFonts w:hint="eastAsia"/>
                <w:b/>
                <w:bCs/>
                <w:sz w:val="24"/>
              </w:rPr>
              <w:t>3#</w:t>
            </w:r>
          </w:p>
        </w:tc>
        <w:tc>
          <w:tcPr>
            <w:tcW w:w="3827" w:type="dxa"/>
            <w:vAlign w:val="center"/>
          </w:tcPr>
          <w:p w14:paraId="1110A8EB">
            <w:pPr>
              <w:jc w:val="center"/>
              <w:rPr>
                <w:b/>
                <w:bCs/>
                <w:sz w:val="24"/>
              </w:rPr>
            </w:pPr>
            <w:r>
              <w:rPr>
                <w:rFonts w:hint="eastAsia"/>
                <w:b/>
                <w:bCs/>
                <w:sz w:val="24"/>
              </w:rPr>
              <w:t>20μm＜D</w:t>
            </w:r>
            <w:r>
              <w:rPr>
                <w:rFonts w:hint="eastAsia"/>
                <w:b/>
                <w:bCs/>
                <w:sz w:val="24"/>
                <w:vertAlign w:val="subscript"/>
              </w:rPr>
              <w:t>50</w:t>
            </w:r>
          </w:p>
        </w:tc>
        <w:tc>
          <w:tcPr>
            <w:tcW w:w="3085" w:type="dxa"/>
            <w:vAlign w:val="center"/>
          </w:tcPr>
          <w:p w14:paraId="789DF240">
            <w:pPr>
              <w:jc w:val="center"/>
              <w:rPr>
                <w:color w:val="000000"/>
                <w:szCs w:val="21"/>
              </w:rPr>
            </w:pPr>
            <w:r>
              <w:rPr>
                <w:rFonts w:hint="eastAsia"/>
                <w:color w:val="000000"/>
                <w:szCs w:val="21"/>
              </w:rPr>
              <w:t>≤2%（</w:t>
            </w:r>
            <w:r>
              <w:rPr>
                <w:rFonts w:hint="eastAsia"/>
                <w:i/>
                <w:color w:val="000000"/>
                <w:szCs w:val="21"/>
              </w:rPr>
              <w:t>k</w:t>
            </w:r>
            <w:r>
              <w:rPr>
                <w:rFonts w:hint="eastAsia"/>
                <w:color w:val="000000"/>
                <w:szCs w:val="21"/>
              </w:rPr>
              <w:t>=2）</w:t>
            </w:r>
          </w:p>
        </w:tc>
      </w:tr>
    </w:tbl>
    <w:p w14:paraId="6290F828">
      <w:pPr>
        <w:pStyle w:val="8"/>
        <w:spacing w:line="360" w:lineRule="auto"/>
        <w:rPr>
          <w:rFonts w:ascii="Times New Roman" w:hAnsi="Times New Roman"/>
          <w:b w:val="0"/>
          <w:bCs w:val="0"/>
        </w:rPr>
      </w:pPr>
      <w:r>
        <w:rPr>
          <w:rFonts w:ascii="Times New Roman" w:hAnsi="Times New Roman"/>
          <w:b w:val="0"/>
          <w:bCs w:val="0"/>
        </w:rPr>
        <w:t>7</w:t>
      </w:r>
      <w:r>
        <w:rPr>
          <w:rFonts w:hint="eastAsia" w:ascii="Times New Roman" w:hAnsi="Times New Roman"/>
          <w:b w:val="0"/>
          <w:bCs w:val="0"/>
        </w:rPr>
        <w:t xml:space="preserve"> </w:t>
      </w:r>
      <w:r>
        <w:rPr>
          <w:rFonts w:hint="eastAsia" w:ascii="Times New Roman" w:hAnsi="Times New Roman" w:eastAsia="黑体"/>
          <w:b w:val="0"/>
          <w:bCs w:val="0"/>
          <w:lang w:val="zh-CN"/>
        </w:rPr>
        <w:t>校准项目和校准方法</w:t>
      </w:r>
    </w:p>
    <w:p w14:paraId="6489A0A4">
      <w:pPr>
        <w:pStyle w:val="8"/>
        <w:spacing w:line="360" w:lineRule="auto"/>
        <w:rPr>
          <w:rFonts w:ascii="Times New Roman" w:hAnsi="Times New Roman"/>
          <w:b w:val="0"/>
          <w:bCs w:val="0"/>
        </w:rPr>
      </w:pPr>
      <w:r>
        <w:rPr>
          <w:rFonts w:ascii="Times New Roman" w:hAnsi="Times New Roman"/>
          <w:b w:val="0"/>
          <w:bCs w:val="0"/>
        </w:rPr>
        <w:t>7.1外观及功能检查</w:t>
      </w:r>
    </w:p>
    <w:p w14:paraId="1AFBE041">
      <w:pPr>
        <w:spacing w:line="360" w:lineRule="auto"/>
        <w:ind w:firstLine="480" w:firstLineChars="200"/>
        <w:rPr>
          <w:sz w:val="24"/>
        </w:rPr>
      </w:pPr>
      <w:r>
        <w:rPr>
          <w:sz w:val="24"/>
        </w:rPr>
        <w:t>仪器应具有名称、型号、制造厂、出厂编号等标识。</w:t>
      </w:r>
    </w:p>
    <w:p w14:paraId="41ADF04A">
      <w:pPr>
        <w:spacing w:line="360" w:lineRule="auto"/>
        <w:ind w:firstLine="480" w:firstLineChars="200"/>
        <w:rPr>
          <w:sz w:val="24"/>
        </w:rPr>
      </w:pPr>
      <w:r>
        <w:rPr>
          <w:sz w:val="24"/>
        </w:rPr>
        <w:t>仪器各部件齐全且连接良好，软件控制能正常工作，无影响使用性能的缺陷。</w:t>
      </w:r>
    </w:p>
    <w:p w14:paraId="1535798C">
      <w:pPr>
        <w:pStyle w:val="8"/>
        <w:spacing w:line="360" w:lineRule="auto"/>
        <w:rPr>
          <w:rFonts w:ascii="Times New Roman" w:hAnsi="Times New Roman"/>
          <w:b w:val="0"/>
          <w:bCs w:val="0"/>
        </w:rPr>
      </w:pPr>
      <w:r>
        <w:rPr>
          <w:rFonts w:ascii="Times New Roman" w:hAnsi="Times New Roman"/>
          <w:b w:val="0"/>
          <w:bCs w:val="0"/>
        </w:rPr>
        <w:t>7.2</w:t>
      </w:r>
      <w:r>
        <w:rPr>
          <w:rFonts w:hint="eastAsia" w:ascii="Times New Roman" w:hAnsi="Times New Roman"/>
          <w:b w:val="0"/>
          <w:bCs w:val="0"/>
        </w:rPr>
        <w:t xml:space="preserve">示值误差  </w:t>
      </w:r>
    </w:p>
    <w:p w14:paraId="38F8BBC7">
      <w:pPr>
        <w:pStyle w:val="8"/>
        <w:spacing w:line="360" w:lineRule="auto"/>
        <w:ind w:firstLine="600" w:firstLineChars="250"/>
        <w:rPr>
          <w:rFonts w:ascii="宋体" w:cs="宋体" w:hAnsiTheme="minorHAnsi"/>
          <w:b w:val="0"/>
          <w:bCs w:val="0"/>
        </w:rPr>
      </w:pPr>
      <w:r>
        <w:rPr>
          <w:rFonts w:hint="eastAsia" w:ascii="宋体" w:cs="宋体" w:hAnsiTheme="minorHAnsi"/>
          <w:b w:val="0"/>
          <w:bCs w:val="0"/>
        </w:rPr>
        <w:t>按照仪器说明书要求开机预热，调整仪器为样品测试模式，分别对 1μm＜</w:t>
      </w:r>
      <m:oMath>
        <m:sSub>
          <m:sSubPr>
            <m:ctrlPr>
              <w:rPr>
                <w:rFonts w:ascii="Cambria Math" w:hAnsi="Cambria Math" w:cs="宋体"/>
                <w:b w:val="0"/>
                <w:bCs w:val="0"/>
              </w:rPr>
            </m:ctrlPr>
          </m:sSubPr>
          <m:e>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50s</m:t>
            </m:r>
            <m:ctrlPr>
              <w:rPr>
                <w:rFonts w:ascii="Cambria Math" w:hAnsi="Cambria Math" w:cs="宋体"/>
                <w:b w:val="0"/>
                <w:bCs w:val="0"/>
              </w:rPr>
            </m:ctrlPr>
          </m:sub>
        </m:sSub>
      </m:oMath>
      <w:r>
        <w:rPr>
          <w:rFonts w:hint="eastAsia" w:ascii="宋体" w:cs="宋体" w:hAnsiTheme="minorHAnsi"/>
          <w:b w:val="0"/>
          <w:bCs w:val="0"/>
        </w:rPr>
        <w:t>≤10μm、10μm＜</w:t>
      </w:r>
      <m:oMath>
        <m:sSub>
          <m:sSubPr>
            <m:ctrlPr>
              <w:rPr>
                <w:rFonts w:ascii="Cambria Math" w:hAnsi="Cambria Math" w:cs="宋体"/>
                <w:b w:val="0"/>
                <w:bCs w:val="0"/>
              </w:rPr>
            </m:ctrlPr>
          </m:sSubPr>
          <m:e>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50s</m:t>
            </m:r>
            <m:ctrlPr>
              <w:rPr>
                <w:rFonts w:ascii="Cambria Math" w:hAnsi="Cambria Math" w:cs="宋体"/>
                <w:b w:val="0"/>
                <w:bCs w:val="0"/>
              </w:rPr>
            </m:ctrlPr>
          </m:sub>
        </m:sSub>
        <m:r>
          <m:rPr>
            <m:sty m:val="b"/>
          </m:rPr>
          <w:rPr>
            <w:rFonts w:hint="eastAsia" w:ascii="Cambria Math" w:hAnsi="Cambria Math" w:cs="宋体"/>
          </w:rPr>
          <m:t>≤</m:t>
        </m:r>
      </m:oMath>
      <w:r>
        <w:rPr>
          <w:rFonts w:hint="eastAsia" w:ascii="宋体" w:cs="宋体" w:hAnsiTheme="minorHAnsi"/>
          <w:b w:val="0"/>
          <w:bCs w:val="0"/>
        </w:rPr>
        <w:t>20μm、20μm＜</w:t>
      </w:r>
      <m:oMath>
        <m:sSub>
          <m:sSubPr>
            <m:ctrlPr>
              <w:rPr>
                <w:rFonts w:ascii="Cambria Math" w:hAnsi="Cambria Math" w:cs="宋体"/>
                <w:b w:val="0"/>
                <w:bCs w:val="0"/>
              </w:rPr>
            </m:ctrlPr>
          </m:sSubPr>
          <m:e>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50s</m:t>
            </m:r>
            <m:ctrlPr>
              <w:rPr>
                <w:rFonts w:ascii="Cambria Math" w:hAnsi="Cambria Math" w:cs="宋体"/>
                <w:b w:val="0"/>
                <w:bCs w:val="0"/>
              </w:rPr>
            </m:ctrlPr>
          </m:sub>
        </m:sSub>
      </m:oMath>
      <w:r>
        <w:rPr>
          <w:rFonts w:hint="eastAsia" w:ascii="宋体" w:cs="宋体" w:hAnsiTheme="minorHAnsi"/>
          <w:b w:val="0"/>
          <w:bCs w:val="0"/>
        </w:rPr>
        <w:t>的粒度标准物质的测量三次求平均值</w:t>
      </w:r>
      <m:oMath>
        <m:bar>
          <m:barPr>
            <m:pos m:val="top"/>
            <m:ctrlPr>
              <w:rPr>
                <w:rFonts w:ascii="Cambria Math" w:hAnsi="Cambria Math" w:cs="宋体"/>
                <w:b w:val="0"/>
                <w:bCs w:val="0"/>
              </w:rPr>
            </m:ctrlPr>
          </m:barPr>
          <m:e>
            <m:sSub>
              <m:sSubPr>
                <m:ctrlPr>
                  <w:rPr>
                    <w:rFonts w:ascii="Cambria Math" w:hAnsi="Cambria Math" w:cs="宋体"/>
                    <w:b w:val="0"/>
                    <w:bCs w:val="0"/>
                  </w:rPr>
                </m:ctrlPr>
              </m:sSubPr>
              <m:e>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m:t>
                </m:r>
                <m:ctrlPr>
                  <w:rPr>
                    <w:rFonts w:ascii="Cambria Math" w:hAnsi="Cambria Math" w:cs="宋体"/>
                    <w:b w:val="0"/>
                    <w:bCs w:val="0"/>
                  </w:rPr>
                </m:ctrlPr>
              </m:sub>
            </m:sSub>
            <m:ctrlPr>
              <w:rPr>
                <w:rFonts w:ascii="Cambria Math" w:hAnsi="Cambria Math" w:cs="宋体"/>
                <w:b w:val="0"/>
                <w:bCs w:val="0"/>
              </w:rPr>
            </m:ctrlPr>
          </m:e>
        </m:bar>
      </m:oMath>
      <w:r>
        <w:rPr>
          <w:rFonts w:hint="eastAsia" w:ascii="宋体" w:cs="宋体" w:hAnsiTheme="minorHAnsi"/>
          <w:b w:val="0"/>
          <w:bCs w:val="0"/>
        </w:rPr>
        <w:t>，按公式（</w:t>
      </w:r>
      <w:r>
        <w:rPr>
          <w:rFonts w:ascii="宋体" w:cs="宋体" w:hAnsiTheme="minorHAnsi"/>
          <w:b w:val="0"/>
          <w:bCs w:val="0"/>
        </w:rPr>
        <w:t>1</w:t>
      </w:r>
      <w:r>
        <w:rPr>
          <w:rFonts w:hint="eastAsia" w:ascii="宋体" w:cs="宋体" w:hAnsiTheme="minorHAnsi"/>
          <w:b w:val="0"/>
          <w:bCs w:val="0"/>
        </w:rPr>
        <w:t xml:space="preserve">）计算仪器测量平均值与粒度标准物质标准值  </w:t>
      </w:r>
      <m:oMath>
        <m:sSub>
          <m:sSubPr>
            <m:ctrlPr>
              <w:rPr>
                <w:rFonts w:ascii="Cambria Math" w:hAnsi="Cambria Math" w:cs="宋体"/>
                <w:b w:val="0"/>
                <w:bCs w:val="0"/>
              </w:rPr>
            </m:ctrlPr>
          </m:sSubPr>
          <m:e>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50S</m:t>
            </m:r>
            <m:ctrlPr>
              <w:rPr>
                <w:rFonts w:ascii="Cambria Math" w:hAnsi="Cambria Math" w:cs="宋体"/>
                <w:b w:val="0"/>
                <w:bCs w:val="0"/>
              </w:rPr>
            </m:ctrlPr>
          </m:sub>
        </m:sSub>
        <m:r>
          <m:rPr>
            <m:sty m:val="b"/>
          </m:rPr>
          <w:rPr>
            <w:rFonts w:ascii="Cambria Math" w:hAnsi="Cambria Math" w:cs="宋体"/>
          </w:rPr>
          <m:t xml:space="preserve"> </m:t>
        </m:r>
      </m:oMath>
      <w:r>
        <w:rPr>
          <w:rFonts w:hint="eastAsia" w:ascii="宋体" w:cs="宋体" w:hAnsiTheme="minorHAnsi"/>
          <w:b w:val="0"/>
          <w:bCs w:val="0"/>
        </w:rPr>
        <w:t>之间的示值误差</w:t>
      </w:r>
      <m:oMath>
        <m:sSub>
          <m:sSubPr>
            <m:ctrlPr>
              <w:rPr>
                <w:rFonts w:ascii="Cambria Math" w:hAnsi="Cambria Math" w:cs="宋体"/>
                <w:b w:val="0"/>
                <w:bCs w:val="0"/>
              </w:rPr>
            </m:ctrlPr>
          </m:sSubPr>
          <m:e>
            <m:r>
              <m:rPr>
                <m:sty m:val="p"/>
              </m:rPr>
              <w:rPr>
                <w:rFonts w:hint="eastAsia" w:ascii="Cambria Math" w:hAnsi="Cambria Math" w:cs="宋体"/>
              </w:rPr>
              <w:sym w:font="Symbol" w:char="F044"/>
            </m:r>
            <m:r>
              <m:rPr>
                <m:sty m:val="b"/>
              </m:rPr>
              <w:rPr>
                <w:rFonts w:ascii="Cambria Math" w:hAnsi="Cambria Math" w:cs="宋体"/>
              </w:rPr>
              <m:t>D</m:t>
            </m:r>
            <m:ctrlPr>
              <w:rPr>
                <w:rFonts w:ascii="Cambria Math" w:hAnsi="Cambria Math" w:cs="宋体"/>
                <w:b w:val="0"/>
                <w:bCs w:val="0"/>
              </w:rPr>
            </m:ctrlPr>
          </m:e>
          <m:sub>
            <m:r>
              <m:rPr>
                <m:sty m:val="b"/>
              </m:rPr>
              <w:rPr>
                <w:rFonts w:ascii="Cambria Math" w:hAnsi="Cambria Math" w:cs="宋体"/>
              </w:rPr>
              <m:t>50</m:t>
            </m:r>
            <m:ctrlPr>
              <w:rPr>
                <w:rFonts w:ascii="Cambria Math" w:hAnsi="Cambria Math" w:cs="宋体"/>
                <w:b w:val="0"/>
                <w:bCs w:val="0"/>
              </w:rPr>
            </m:ctrlPr>
          </m:sub>
        </m:sSub>
      </m:oMath>
      <w:r>
        <w:rPr>
          <w:rFonts w:hint="eastAsia" w:ascii="宋体" w:cs="宋体" w:hAnsiTheme="minorHAnsi"/>
          <w:b w:val="0"/>
          <w:bCs w:val="0"/>
        </w:rPr>
        <w:t xml:space="preserve"> 。</w:t>
      </w:r>
    </w:p>
    <w:p w14:paraId="12D8177B"/>
    <w:p w14:paraId="67F0BA7F">
      <w:pPr>
        <w:snapToGrid w:val="0"/>
        <w:spacing w:line="360" w:lineRule="auto"/>
        <w:jc w:val="right"/>
        <w:rPr>
          <w:rFonts w:ascii="宋体" w:cs="宋体" w:hAnsiTheme="minorHAnsi"/>
          <w:kern w:val="0"/>
          <w:sz w:val="24"/>
        </w:rPr>
      </w:pPr>
    </w:p>
    <w:p w14:paraId="430803FD">
      <w:pPr>
        <w:snapToGrid w:val="0"/>
        <w:spacing w:line="360" w:lineRule="auto"/>
        <w:jc w:val="right"/>
        <w:rPr>
          <w:rFonts w:eastAsia="仿宋_GB2312"/>
          <w:sz w:val="24"/>
        </w:rPr>
      </w:pPr>
      <m:oMath>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ctrlPr>
              <w:rPr>
                <w:rFonts w:ascii="Cambria Math" w:hAnsi="Cambria Math"/>
                <w:i/>
                <w:sz w:val="24"/>
              </w:rPr>
            </m:ctrlPr>
          </m:sub>
        </m:sSub>
        <m:r>
          <m:rPr/>
          <w:rPr>
            <w:rFonts w:ascii="Cambria Math" w:hAnsi="Cambria Math"/>
            <w:sz w:val="24"/>
          </w:rPr>
          <m:t>=</m:t>
        </m:r>
        <m:f>
          <m:fPr>
            <m:ctrlPr>
              <w:rPr>
                <w:rFonts w:ascii="Cambria Math" w:hAnsi="Cambria Math"/>
                <w:bCs/>
                <w:i/>
                <w:sz w:val="24"/>
              </w:rPr>
            </m:ctrlPr>
          </m:fPr>
          <m:num>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r>
              <m:rPr/>
              <w:rPr>
                <w:rFonts w:ascii="Cambria Math" w:hAnsi="Cambria Math"/>
                <w:sz w:val="24"/>
              </w:rPr>
              <m:t>−</m:t>
            </m:r>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ctrlPr>
              <w:rPr>
                <w:rFonts w:ascii="Cambria Math" w:hAnsi="Cambria Math"/>
                <w:bCs/>
                <w:i/>
                <w:sz w:val="24"/>
              </w:rPr>
            </m:ctrlPr>
          </m:num>
          <m:den>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ctrlPr>
              <w:rPr>
                <w:rFonts w:ascii="Cambria Math" w:hAnsi="Cambria Math"/>
                <w:bCs/>
                <w:i/>
                <w:sz w:val="24"/>
              </w:rPr>
            </m:ctrlPr>
          </m:den>
        </m:f>
        <m:r>
          <m:rPr/>
          <w:rPr>
            <w:rFonts w:ascii="Cambria Math" w:hAnsi="Cambria Math"/>
            <w:sz w:val="24"/>
          </w:rPr>
          <m:t>×100%</m:t>
        </m:r>
      </m:oMath>
      <w:r>
        <w:rPr>
          <w:rFonts w:eastAsia="仿宋_GB2312"/>
          <w:sz w:val="24"/>
        </w:rPr>
        <w:t xml:space="preserve">                     （</w:t>
      </w:r>
      <w:r>
        <w:rPr>
          <w:rFonts w:hint="eastAsia" w:eastAsia="仿宋_GB2312"/>
          <w:sz w:val="24"/>
        </w:rPr>
        <w:t>1</w:t>
      </w:r>
      <w:r>
        <w:rPr>
          <w:rFonts w:eastAsia="仿宋_GB2312"/>
          <w:sz w:val="24"/>
        </w:rPr>
        <w:t>）</w:t>
      </w:r>
    </w:p>
    <w:p w14:paraId="7DE86F4D">
      <w:pPr>
        <w:tabs>
          <w:tab w:val="left" w:pos="540"/>
        </w:tabs>
        <w:autoSpaceDE w:val="0"/>
        <w:autoSpaceDN w:val="0"/>
        <w:adjustRightInd w:val="0"/>
        <w:spacing w:line="360" w:lineRule="auto"/>
        <w:ind w:firstLine="480" w:firstLineChars="200"/>
        <w:rPr>
          <w:sz w:val="24"/>
        </w:rPr>
      </w:pPr>
      <w:r>
        <w:rPr>
          <w:sz w:val="24"/>
        </w:rPr>
        <w:t>式中：</w:t>
      </w:r>
    </w:p>
    <w:p w14:paraId="1EC1FE99">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ctrlPr>
              <w:rPr>
                <w:rFonts w:ascii="Cambria Math" w:hAnsi="Cambria Math"/>
                <w:i/>
                <w:sz w:val="24"/>
              </w:rPr>
            </m:ctrlPr>
          </m:sub>
        </m:sSub>
      </m:oMath>
      <w:r>
        <w:rPr>
          <w:sz w:val="24"/>
        </w:rPr>
        <w:t>——</w:t>
      </w:r>
      <w:r>
        <w:rPr>
          <w:rFonts w:hint="eastAsia" w:ascii="宋体" w:cs="宋体" w:hAnsiTheme="minorHAnsi"/>
          <w:kern w:val="0"/>
          <w:sz w:val="24"/>
        </w:rPr>
        <w:t>仪器示值误差，</w:t>
      </w:r>
      <w:r>
        <w:rPr>
          <w:rFonts w:ascii="Calibri" w:hAnsi="Calibri" w:cs="Calibri"/>
          <w:kern w:val="0"/>
          <w:sz w:val="24"/>
        </w:rPr>
        <w:t>%</w:t>
      </w:r>
      <w:r>
        <w:rPr>
          <w:sz w:val="24"/>
        </w:rPr>
        <w:t>；</w:t>
      </w:r>
    </w:p>
    <w:p w14:paraId="14CBB5B4">
      <w:pPr>
        <w:tabs>
          <w:tab w:val="left" w:pos="540"/>
        </w:tabs>
        <w:autoSpaceDE w:val="0"/>
        <w:autoSpaceDN w:val="0"/>
        <w:adjustRightInd w:val="0"/>
        <w:spacing w:line="360" w:lineRule="auto"/>
        <w:ind w:firstLine="960" w:firstLineChars="400"/>
        <w:rPr>
          <w:sz w:val="24"/>
        </w:rPr>
      </w:pPr>
      <m:oMath>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oMath>
      <w:r>
        <w:rPr>
          <w:sz w:val="24"/>
        </w:rPr>
        <w:t>——</w:t>
      </w:r>
      <w:r>
        <w:rPr>
          <w:rFonts w:hint="eastAsia" w:ascii="宋体" w:cs="宋体" w:hAnsiTheme="minorHAnsi"/>
          <w:kern w:val="0"/>
          <w:sz w:val="24"/>
        </w:rPr>
        <w:t>仪器测量平均值，</w:t>
      </w:r>
      <w:r>
        <w:rPr>
          <w:rFonts w:ascii="Calibri" w:hAnsi="Calibri" w:cs="Calibri"/>
          <w:kern w:val="0"/>
          <w:sz w:val="24"/>
        </w:rPr>
        <w:t>μm</w:t>
      </w:r>
      <w:r>
        <w:rPr>
          <w:rFonts w:hint="eastAsia" w:ascii="宋体" w:cs="宋体" w:hAnsiTheme="minorHAnsi"/>
          <w:kern w:val="0"/>
          <w:sz w:val="24"/>
        </w:rPr>
        <w:t>；</w:t>
      </w:r>
    </w:p>
    <w:p w14:paraId="5C6CA4EA">
      <w:pPr>
        <w:tabs>
          <w:tab w:val="left" w:pos="540"/>
        </w:tabs>
        <w:autoSpaceDE w:val="0"/>
        <w:autoSpaceDN w:val="0"/>
        <w:adjustRightInd w:val="0"/>
        <w:spacing w:line="360" w:lineRule="auto"/>
        <w:ind w:firstLine="960" w:firstLineChars="400"/>
        <w:rPr>
          <w:sz w:val="24"/>
        </w:rPr>
      </w:pPr>
      <m:oMath>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oMath>
      <w:r>
        <w:rPr>
          <w:sz w:val="24"/>
        </w:rPr>
        <w:t>——</w:t>
      </w:r>
      <w:r>
        <w:rPr>
          <w:rFonts w:hint="eastAsia" w:ascii="宋体" w:cs="宋体" w:hAnsiTheme="minorHAnsi"/>
          <w:kern w:val="0"/>
          <w:sz w:val="24"/>
        </w:rPr>
        <w:t>粒度标准物质标准值，</w:t>
      </w:r>
      <w:r>
        <w:rPr>
          <w:rFonts w:ascii="Calibri" w:hAnsi="Calibri" w:cs="Calibri"/>
          <w:kern w:val="0"/>
          <w:sz w:val="24"/>
        </w:rPr>
        <w:t>μm</w:t>
      </w:r>
      <w:r>
        <w:rPr>
          <w:rFonts w:hint="eastAsia" w:ascii="Calibri" w:hAnsi="Calibri" w:cs="Calibri"/>
          <w:kern w:val="0"/>
          <w:sz w:val="24"/>
        </w:rPr>
        <w:t>。</w:t>
      </w:r>
    </w:p>
    <w:p w14:paraId="64B97DC6">
      <w:pPr>
        <w:pStyle w:val="8"/>
        <w:spacing w:line="360" w:lineRule="auto"/>
        <w:rPr>
          <w:rFonts w:ascii="Times New Roman" w:hAnsi="Times New Roman"/>
          <w:b w:val="0"/>
          <w:bCs w:val="0"/>
        </w:rPr>
      </w:pPr>
      <w:r>
        <w:rPr>
          <w:rFonts w:ascii="Times New Roman" w:hAnsi="Times New Roman"/>
          <w:b w:val="0"/>
          <w:bCs w:val="0"/>
        </w:rPr>
        <w:t>7.</w:t>
      </w:r>
      <w:r>
        <w:rPr>
          <w:rFonts w:hint="eastAsia" w:ascii="Times New Roman" w:hAnsi="Times New Roman"/>
          <w:b w:val="0"/>
          <w:bCs w:val="0"/>
        </w:rPr>
        <w:t>3重复性</w:t>
      </w:r>
    </w:p>
    <w:p w14:paraId="24DC8973">
      <w:pPr>
        <w:autoSpaceDE w:val="0"/>
        <w:autoSpaceDN w:val="0"/>
        <w:adjustRightInd w:val="0"/>
        <w:spacing w:line="360" w:lineRule="auto"/>
        <w:ind w:firstLine="480" w:firstLineChars="200"/>
        <w:jc w:val="left"/>
        <w:rPr>
          <w:rFonts w:ascii="宋体" w:cs="宋体" w:hAnsiTheme="minorHAnsi"/>
          <w:kern w:val="0"/>
          <w:sz w:val="24"/>
        </w:rPr>
      </w:pPr>
      <w:r>
        <w:rPr>
          <w:rFonts w:hint="eastAsia" w:ascii="宋体" w:cs="宋体" w:hAnsiTheme="minorHAnsi"/>
          <w:kern w:val="0"/>
          <w:sz w:val="24"/>
        </w:rPr>
        <w:t>按照仪器说明书要求开机预热，调整仪器为样品测试模式，对10μm＜D50≤20μm粒度标准物质连续测量</w:t>
      </w:r>
      <w:r>
        <w:rPr>
          <w:rFonts w:ascii="宋体" w:cs="宋体" w:hAnsiTheme="minorHAnsi"/>
          <w:kern w:val="0"/>
          <w:sz w:val="24"/>
        </w:rPr>
        <w:t>6</w:t>
      </w:r>
      <w:r>
        <w:rPr>
          <w:rFonts w:hint="eastAsia" w:ascii="宋体" w:cs="宋体" w:hAnsiTheme="minorHAnsi"/>
          <w:kern w:val="0"/>
          <w:sz w:val="24"/>
        </w:rPr>
        <w:t>次，按公式（</w:t>
      </w:r>
      <w:r>
        <w:rPr>
          <w:rFonts w:ascii="宋体" w:cs="宋体" w:hAnsiTheme="minorHAnsi"/>
          <w:kern w:val="0"/>
          <w:sz w:val="24"/>
        </w:rPr>
        <w:t>2</w:t>
      </w:r>
      <w:r>
        <w:rPr>
          <w:rFonts w:hint="eastAsia" w:ascii="宋体" w:cs="宋体" w:hAnsiTheme="minorHAnsi"/>
          <w:kern w:val="0"/>
          <w:sz w:val="24"/>
        </w:rPr>
        <w:t>）计算，重复性以相对标准偏差表示。</w:t>
      </w:r>
    </w:p>
    <w:p w14:paraId="7BA98171">
      <w:pPr>
        <w:autoSpaceDE w:val="0"/>
        <w:autoSpaceDN w:val="0"/>
        <w:adjustRightInd w:val="0"/>
        <w:jc w:val="left"/>
        <w:rPr>
          <w:rFonts w:ascii="宋体" w:cs="宋体" w:hAnsiTheme="minorHAnsi"/>
          <w:kern w:val="0"/>
          <w:sz w:val="24"/>
        </w:rPr>
      </w:pPr>
      <w:r>
        <w:rPr>
          <w:rFonts w:hint="eastAsia" w:ascii="宋体" w:cs="宋体" w:hAnsiTheme="minorHAnsi"/>
          <w:kern w:val="0"/>
          <w:sz w:val="24"/>
        </w:rPr>
        <w:t xml:space="preserve">    </w:t>
      </w:r>
    </w:p>
    <w:p w14:paraId="5F6180C4">
      <w:pPr>
        <w:autoSpaceDE w:val="0"/>
        <w:autoSpaceDN w:val="0"/>
        <w:adjustRightInd w:val="0"/>
        <w:jc w:val="left"/>
        <w:rPr>
          <w:rFonts w:ascii="宋体" w:cs="宋体" w:hAnsiTheme="minorHAnsi"/>
          <w:kern w:val="0"/>
          <w:sz w:val="24"/>
        </w:rPr>
      </w:pPr>
      <m:oMath>
        <m:sSub>
          <m:sSubPr>
            <m:ctrlPr>
              <w:rPr>
                <w:rFonts w:ascii="Cambria Math" w:hAnsi="Cambria Math"/>
                <w:i/>
                <w:sz w:val="24"/>
              </w:rPr>
            </m:ctrlPr>
          </m:sSubPr>
          <m:e>
            <m:r>
              <m:rPr/>
              <w:rPr>
                <w:rFonts w:ascii="Cambria Math" w:hAnsi="Cambria Math"/>
                <w:sz w:val="24"/>
              </w:rPr>
              <m:t xml:space="preserve">                                             S</m:t>
            </m:r>
            <m:ctrlPr>
              <w:rPr>
                <w:rFonts w:ascii="Cambria Math" w:hAnsi="Cambria Math"/>
                <w:i/>
                <w:sz w:val="24"/>
              </w:rPr>
            </m:ctrlPr>
          </m:e>
          <m:sub>
            <m:r>
              <m:rPr/>
              <w:rPr>
                <w:rFonts w:ascii="Cambria Math" w:hAnsi="Cambria Math"/>
                <w:sz w:val="24"/>
              </w:rPr>
              <m:t>R</m:t>
            </m:r>
            <m:ctrlPr>
              <w:rPr>
                <w:rFonts w:ascii="Cambria Math" w:hAnsi="Cambria Math"/>
                <w:i/>
                <w:sz w:val="24"/>
              </w:rPr>
            </m:ctrlPr>
          </m:sub>
        </m:sSub>
        <m:r>
          <m:rPr/>
          <w:rPr>
            <w:rFonts w:ascii="Cambria Math" w:hAnsi="Cambria Math"/>
            <w:sz w:val="24"/>
          </w:rPr>
          <m:t>=</m:t>
        </m:r>
        <m:f>
          <m:fPr>
            <m:ctrlPr>
              <w:rPr>
                <w:rFonts w:ascii="Cambria Math" w:hAnsi="Cambria Math"/>
                <w:bCs/>
                <w:i/>
                <w:sz w:val="24"/>
              </w:rPr>
            </m:ctrlPr>
          </m:fPr>
          <m:num>
            <m:rad>
              <m:radPr>
                <m:degHide m:val="1"/>
                <m:ctrlPr>
                  <w:rPr>
                    <w:rFonts w:ascii="Cambria Math" w:hAnsi="Cambria Math"/>
                    <w:i/>
                    <w:sz w:val="24"/>
                  </w:rPr>
                </m:ctrlPr>
              </m:radPr>
              <m:deg>
                <m:ctrlPr>
                  <w:rPr>
                    <w:rFonts w:ascii="Cambria Math" w:hAnsi="Cambria Math"/>
                    <w:i/>
                    <w:sz w:val="24"/>
                  </w:rPr>
                </m:ctrlPr>
              </m:deg>
              <m:e>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n−1</m:t>
                    </m:r>
                    <m:ctrlPr>
                      <w:rPr>
                        <w:rFonts w:ascii="Cambria Math" w:hAnsi="Cambria Math"/>
                        <w:i/>
                        <w:sz w:val="24"/>
                      </w:rPr>
                    </m:ctrlPr>
                  </m:den>
                </m:f>
                <m:nary>
                  <m:naryPr>
                    <m:chr m:val="∑"/>
                    <m:ctrlPr>
                      <w:rPr>
                        <w:rFonts w:ascii="Cambria Math" w:hAnsi="Cambria Math"/>
                        <w:i/>
                        <w:sz w:val="24"/>
                      </w:rPr>
                    </m:ctrlPr>
                  </m:naryPr>
                  <m:sub>
                    <m:r>
                      <m:rPr/>
                      <w:rPr>
                        <w:rFonts w:ascii="Cambria Math" w:hAnsi="Cambria Math"/>
                        <w:sz w:val="24"/>
                      </w:rPr>
                      <m:t>i=0</m:t>
                    </m:r>
                    <m:ctrlPr>
                      <w:rPr>
                        <w:rFonts w:ascii="Cambria Math" w:hAnsi="Cambria Math"/>
                        <w:i/>
                        <w:sz w:val="24"/>
                      </w:rPr>
                    </m:ctrlPr>
                  </m:sub>
                  <m:sup>
                    <m:r>
                      <m:rPr/>
                      <w:rPr>
                        <w:rFonts w:ascii="Cambria Math" w:hAnsi="Cambria Math"/>
                        <w:sz w:val="24"/>
                      </w:rPr>
                      <m:t>n</m:t>
                    </m:r>
                    <m:ctrlPr>
                      <w:rPr>
                        <w:rFonts w:ascii="Cambria Math" w:hAnsi="Cambria Math"/>
                        <w:i/>
                        <w:sz w:val="24"/>
                      </w:rPr>
                    </m:ctrlPr>
                  </m:sup>
                  <m:e>
                    <m:sSup>
                      <m:sSupPr>
                        <m:ctrlPr>
                          <w:rPr>
                            <w:rFonts w:ascii="Cambria Math" w:hAnsi="Cambria Math"/>
                            <w:i/>
                            <w:sz w:val="24"/>
                          </w:rPr>
                        </m:ctrlPr>
                      </m:sSupPr>
                      <m:e>
                        <m:r>
                          <m:rPr/>
                          <w:rPr>
                            <w:rFonts w:ascii="Cambria Math" w:hAnsi="Cambria Math"/>
                            <w:sz w:val="24"/>
                          </w:rPr>
                          <m:t>(</m:t>
                        </m:r>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r>
                              <m:rPr/>
                              <w:rPr>
                                <w:rFonts w:hint="eastAsia" w:ascii="Cambria Math" w:hAnsi="Cambria Math"/>
                                <w:sz w:val="24"/>
                              </w:rPr>
                              <m:t>i</m:t>
                            </m:r>
                            <m:ctrlPr>
                              <w:rPr>
                                <w:rFonts w:ascii="Cambria Math" w:hAnsi="Cambria Math"/>
                                <w:i/>
                                <w:sz w:val="24"/>
                              </w:rPr>
                            </m:ctrlPr>
                          </m:sub>
                        </m:sSub>
                        <m:r>
                          <m:rPr/>
                          <w:rPr>
                            <w:rFonts w:ascii="Cambria Math" w:hAnsi="Cambria Math"/>
                            <w:sz w:val="24"/>
                          </w:rPr>
                          <m:t>−</m:t>
                        </m:r>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r>
                          <m:rPr/>
                          <w:rPr>
                            <w:rFonts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e>
                </m:nary>
                <m:ctrlPr>
                  <w:rPr>
                    <w:rFonts w:ascii="Cambria Math" w:hAnsi="Cambria Math"/>
                    <w:i/>
                    <w:sz w:val="24"/>
                  </w:rPr>
                </m:ctrlPr>
              </m:e>
            </m:rad>
            <m:ctrlPr>
              <w:rPr>
                <w:rFonts w:ascii="Cambria Math" w:hAnsi="Cambria Math"/>
                <w:bCs/>
                <w:i/>
                <w:sz w:val="24"/>
              </w:rPr>
            </m:ctrlPr>
          </m:num>
          <m:den>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ctrlPr>
              <w:rPr>
                <w:rFonts w:ascii="Cambria Math" w:hAnsi="Cambria Math"/>
                <w:bCs/>
                <w:i/>
                <w:sz w:val="24"/>
              </w:rPr>
            </m:ctrlPr>
          </m:den>
        </m:f>
        <m:r>
          <m:rPr/>
          <w:rPr>
            <w:rFonts w:ascii="Cambria Math" w:hAnsi="Cambria Math"/>
            <w:sz w:val="24"/>
          </w:rPr>
          <m:t>×100%</m:t>
        </m:r>
      </m:oMath>
      <w:r>
        <w:rPr>
          <w:rFonts w:hint="eastAsia" w:ascii="宋体" w:cs="宋体" w:hAnsiTheme="minorHAnsi"/>
          <w:sz w:val="24"/>
        </w:rPr>
        <w:t xml:space="preserve">                 (2)</w:t>
      </w:r>
    </w:p>
    <w:p w14:paraId="0F4EC402">
      <w:pPr>
        <w:tabs>
          <w:tab w:val="left" w:pos="540"/>
        </w:tabs>
        <w:autoSpaceDE w:val="0"/>
        <w:autoSpaceDN w:val="0"/>
        <w:adjustRightInd w:val="0"/>
        <w:spacing w:line="360" w:lineRule="auto"/>
        <w:ind w:firstLine="480" w:firstLineChars="200"/>
        <w:rPr>
          <w:sz w:val="24"/>
        </w:rPr>
      </w:pPr>
      <w:r>
        <w:rPr>
          <w:sz w:val="24"/>
        </w:rPr>
        <w:t>式中：</w:t>
      </w:r>
    </w:p>
    <w:p w14:paraId="5A1DB84F">
      <w:pPr>
        <w:snapToGrid w:val="0"/>
        <w:spacing w:line="360" w:lineRule="auto"/>
        <w:ind w:firstLine="960" w:firstLineChars="400"/>
        <w:rPr>
          <w:sz w:val="24"/>
        </w:rPr>
      </w:pPr>
      <m:oMath>
        <m:sSub>
          <m:sSubPr>
            <m:ctrlPr>
              <w:rPr>
                <w:rFonts w:ascii="Cambria Math" w:hAnsi="Cambria Math"/>
                <w:i/>
                <w:sz w:val="24"/>
              </w:rPr>
            </m:ctrlPr>
          </m:sSubPr>
          <m:e>
            <m:r>
              <m:rPr/>
              <w:rPr>
                <w:rFonts w:ascii="Cambria Math" w:hAnsi="Cambria Math"/>
                <w:sz w:val="24"/>
              </w:rPr>
              <m:t xml:space="preserve"> S</m:t>
            </m:r>
            <m:ctrlPr>
              <w:rPr>
                <w:rFonts w:ascii="Cambria Math" w:hAnsi="Cambria Math"/>
                <w:i/>
                <w:sz w:val="24"/>
              </w:rPr>
            </m:ctrlPr>
          </m:e>
          <m:sub>
            <m:r>
              <m:rPr/>
              <w:rPr>
                <w:rFonts w:ascii="Cambria Math" w:hAnsi="Cambria Math"/>
                <w:sz w:val="24"/>
              </w:rPr>
              <m:t>R</m:t>
            </m:r>
            <m:ctrlPr>
              <w:rPr>
                <w:rFonts w:ascii="Cambria Math" w:hAnsi="Cambria Math"/>
                <w:i/>
                <w:sz w:val="24"/>
              </w:rPr>
            </m:ctrlPr>
          </m:sub>
        </m:sSub>
        <m:r>
          <m:rPr/>
          <w:rPr>
            <w:rFonts w:ascii="Cambria Math" w:hAnsi="Cambria Math"/>
            <w:sz w:val="24"/>
          </w:rPr>
          <m:t xml:space="preserve">     </m:t>
        </m:r>
      </m:oMath>
      <w:r>
        <w:rPr>
          <w:sz w:val="24"/>
        </w:rPr>
        <w:t>——</w:t>
      </w:r>
      <w:r>
        <w:rPr>
          <w:rFonts w:hint="eastAsia" w:ascii="宋体" w:cs="宋体" w:hAnsiTheme="minorHAnsi"/>
          <w:kern w:val="0"/>
          <w:sz w:val="24"/>
        </w:rPr>
        <w:t>重复性，</w:t>
      </w:r>
      <w:r>
        <w:rPr>
          <w:rFonts w:ascii="Calibri" w:hAnsi="Calibri" w:cs="Calibri"/>
          <w:kern w:val="0"/>
          <w:sz w:val="24"/>
        </w:rPr>
        <w:t>%</w:t>
      </w:r>
      <w:r>
        <w:rPr>
          <w:sz w:val="24"/>
        </w:rPr>
        <w:t>；</w:t>
      </w:r>
    </w:p>
    <w:p w14:paraId="78F12C1B">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r>
              <m:rPr/>
              <w:rPr>
                <w:rFonts w:hint="eastAsia" w:ascii="Cambria Math" w:hAnsi="Cambria Math"/>
                <w:sz w:val="24"/>
              </w:rPr>
              <m:t>i</m:t>
            </m:r>
            <m:ctrlPr>
              <w:rPr>
                <w:rFonts w:ascii="Cambria Math" w:hAnsi="Cambria Math"/>
                <w:i/>
                <w:sz w:val="24"/>
              </w:rPr>
            </m:ctrlPr>
          </m:sub>
        </m:sSub>
      </m:oMath>
      <w:r>
        <w:rPr>
          <w:sz w:val="24"/>
        </w:rPr>
        <w:t>——</w:t>
      </w:r>
      <w:r>
        <w:rPr>
          <w:rFonts w:hint="eastAsia" w:ascii="宋体" w:cs="宋体" w:hAnsiTheme="minorHAnsi"/>
          <w:kern w:val="0"/>
          <w:sz w:val="24"/>
        </w:rPr>
        <w:t>仪器第i次测量值，</w:t>
      </w:r>
      <w:r>
        <w:rPr>
          <w:rFonts w:ascii="Calibri" w:hAnsi="Calibri" w:cs="Calibri"/>
          <w:kern w:val="0"/>
          <w:sz w:val="24"/>
        </w:rPr>
        <w:t>μm</w:t>
      </w:r>
      <w:r>
        <w:rPr>
          <w:rFonts w:hint="eastAsia" w:ascii="宋体" w:cs="宋体" w:hAnsiTheme="minorHAnsi"/>
          <w:kern w:val="0"/>
          <w:sz w:val="24"/>
        </w:rPr>
        <w:t>；</w:t>
      </w:r>
    </w:p>
    <w:p w14:paraId="33C75E86">
      <w:pPr>
        <w:tabs>
          <w:tab w:val="left" w:pos="540"/>
        </w:tabs>
        <w:autoSpaceDE w:val="0"/>
        <w:autoSpaceDN w:val="0"/>
        <w:adjustRightInd w:val="0"/>
        <w:spacing w:line="360" w:lineRule="auto"/>
        <w:ind w:firstLine="960" w:firstLineChars="400"/>
        <w:rPr>
          <w:rFonts w:ascii="宋体" w:cs="宋体" w:hAnsiTheme="minorHAnsi"/>
          <w:kern w:val="0"/>
          <w:sz w:val="24"/>
        </w:rPr>
      </w:pPr>
      <m:oMath>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oMath>
      <w:r>
        <w:rPr>
          <w:sz w:val="24"/>
        </w:rPr>
        <w:t>——</w:t>
      </w:r>
      <w:r>
        <w:rPr>
          <w:rFonts w:hint="eastAsia" w:ascii="宋体" w:cs="宋体" w:hAnsiTheme="minorHAnsi"/>
          <w:kern w:val="0"/>
          <w:sz w:val="24"/>
        </w:rPr>
        <w:t>仪器六次测量值的平均值，</w:t>
      </w:r>
      <w:r>
        <w:rPr>
          <w:rFonts w:ascii="Calibri" w:hAnsi="Calibri" w:cs="Calibri"/>
          <w:kern w:val="0"/>
          <w:sz w:val="24"/>
        </w:rPr>
        <w:t>μm</w:t>
      </w:r>
      <w:r>
        <w:rPr>
          <w:rFonts w:hint="eastAsia" w:ascii="宋体" w:cs="宋体" w:hAnsiTheme="minorHAnsi"/>
          <w:kern w:val="0"/>
          <w:sz w:val="24"/>
        </w:rPr>
        <w:t>。</w:t>
      </w:r>
    </w:p>
    <w:p w14:paraId="443E685F">
      <w:pPr>
        <w:pStyle w:val="8"/>
        <w:spacing w:line="360" w:lineRule="auto"/>
        <w:rPr>
          <w:rFonts w:ascii="Times New Roman" w:hAnsi="Times New Roman"/>
          <w:b w:val="0"/>
          <w:bCs w:val="0"/>
        </w:rPr>
      </w:pPr>
      <w:bookmarkStart w:id="28" w:name="_Toc22264"/>
      <w:bookmarkStart w:id="29" w:name="_Toc427490807"/>
      <w:bookmarkStart w:id="30" w:name="_Toc4000"/>
      <w:r>
        <w:rPr>
          <w:rFonts w:ascii="Times New Roman" w:hAnsi="Times New Roman"/>
          <w:b w:val="0"/>
          <w:bCs w:val="0"/>
        </w:rPr>
        <w:t>7.</w:t>
      </w:r>
      <w:r>
        <w:rPr>
          <w:rFonts w:hint="eastAsia" w:ascii="Times New Roman" w:hAnsi="Times New Roman"/>
          <w:b w:val="0"/>
          <w:bCs w:val="0"/>
        </w:rPr>
        <w:t>4分辨力</w:t>
      </w:r>
    </w:p>
    <w:p w14:paraId="19B8CEEC">
      <w:pPr>
        <w:autoSpaceDE w:val="0"/>
        <w:autoSpaceDN w:val="0"/>
        <w:adjustRightInd w:val="0"/>
        <w:spacing w:line="360" w:lineRule="auto"/>
        <w:ind w:firstLine="480" w:firstLineChars="200"/>
        <w:jc w:val="left"/>
        <w:rPr>
          <w:rFonts w:ascii="宋体" w:cs="宋体" w:hAnsiTheme="minorHAnsi"/>
          <w:kern w:val="0"/>
          <w:sz w:val="24"/>
        </w:rPr>
      </w:pPr>
      <w:r>
        <w:rPr>
          <w:rFonts w:hint="eastAsia" w:ascii="宋体" w:cs="宋体" w:hAnsiTheme="minorHAnsi"/>
          <w:kern w:val="0"/>
          <w:sz w:val="24"/>
        </w:rPr>
        <w:t>将（1μm＜D50≤10μm）和（10μm＜D50≤20μm）的两种标准物质按照质量浓度比1:2～1:2.5充分混合。若从仪器测量粒度曲线中能观察出两个独立不相连的峰行，则认为两峰已分开，判定仪器为A级，否则判定仪器为B级。</w:t>
      </w:r>
    </w:p>
    <w:p w14:paraId="5620A0C9">
      <w:pPr>
        <w:pStyle w:val="4"/>
        <w:spacing w:line="360" w:lineRule="auto"/>
        <w:rPr>
          <w:rFonts w:ascii="Times New Roman" w:hAnsi="Times New Roman" w:eastAsia="黑体"/>
          <w:b w:val="0"/>
          <w:bCs w:val="0"/>
          <w:sz w:val="24"/>
          <w:szCs w:val="24"/>
          <w:lang w:val="zh-CN"/>
        </w:rPr>
      </w:pPr>
      <w:r>
        <w:rPr>
          <w:rFonts w:ascii="Times New Roman" w:hAnsi="Times New Roman" w:eastAsia="黑体"/>
          <w:b w:val="0"/>
          <w:bCs w:val="0"/>
          <w:sz w:val="24"/>
          <w:szCs w:val="24"/>
          <w:lang w:val="zh-CN"/>
        </w:rPr>
        <w:t>8  校准结果表达</w:t>
      </w:r>
      <w:bookmarkEnd w:id="28"/>
      <w:bookmarkEnd w:id="29"/>
      <w:bookmarkEnd w:id="30"/>
    </w:p>
    <w:p w14:paraId="7B420903">
      <w:pPr>
        <w:pStyle w:val="8"/>
        <w:spacing w:line="360" w:lineRule="auto"/>
        <w:rPr>
          <w:rFonts w:ascii="Times New Roman" w:hAnsi="Times New Roman"/>
          <w:b w:val="0"/>
          <w:bCs w:val="0"/>
        </w:rPr>
      </w:pPr>
      <w:r>
        <w:rPr>
          <w:rFonts w:ascii="Times New Roman" w:hAnsi="Times New Roman"/>
          <w:b w:val="0"/>
          <w:bCs w:val="0"/>
        </w:rPr>
        <w:t>8.1  校准结果处理</w:t>
      </w:r>
    </w:p>
    <w:p w14:paraId="4A0DD2AA">
      <w:pPr>
        <w:ind w:firstLine="480" w:firstLineChars="200"/>
        <w:rPr>
          <w:rFonts w:ascii="宋体" w:cs="宋体" w:hAnsiTheme="minorHAnsi"/>
          <w:kern w:val="0"/>
          <w:sz w:val="24"/>
        </w:rPr>
      </w:pPr>
      <w:r>
        <w:rPr>
          <w:rFonts w:hint="eastAsia" w:ascii="宋体" w:cs="宋体" w:hAnsiTheme="minorHAnsi"/>
          <w:kern w:val="0"/>
          <w:sz w:val="24"/>
        </w:rPr>
        <w:t>校准证书应至少包括以下信息：</w:t>
      </w:r>
    </w:p>
    <w:p w14:paraId="76523404">
      <w:pPr>
        <w:autoSpaceDE w:val="0"/>
        <w:autoSpaceDN w:val="0"/>
        <w:adjustRightInd w:val="0"/>
        <w:spacing w:line="360" w:lineRule="auto"/>
        <w:jc w:val="left"/>
        <w:rPr>
          <w:color w:val="000000"/>
          <w:sz w:val="24"/>
        </w:rPr>
      </w:pPr>
      <w:r>
        <w:rPr>
          <w:color w:val="000000"/>
          <w:sz w:val="24"/>
        </w:rPr>
        <w:t>a</w:t>
      </w:r>
      <w:r>
        <w:rPr>
          <w:rFonts w:hint="eastAsia"/>
          <w:color w:val="000000"/>
          <w:sz w:val="24"/>
        </w:rPr>
        <w:t>）标题：</w:t>
      </w:r>
      <w:r>
        <w:rPr>
          <w:color w:val="000000"/>
          <w:sz w:val="24"/>
        </w:rPr>
        <w:t>“</w:t>
      </w:r>
      <w:r>
        <w:rPr>
          <w:rFonts w:hint="eastAsia"/>
          <w:color w:val="000000"/>
          <w:sz w:val="24"/>
        </w:rPr>
        <w:t>校准证书</w:t>
      </w:r>
      <w:r>
        <w:rPr>
          <w:color w:val="000000"/>
          <w:sz w:val="24"/>
        </w:rPr>
        <w:t>”</w:t>
      </w:r>
      <w:r>
        <w:rPr>
          <w:rFonts w:hint="eastAsia"/>
          <w:color w:val="000000"/>
          <w:sz w:val="24"/>
        </w:rPr>
        <w:t>；</w:t>
      </w:r>
    </w:p>
    <w:p w14:paraId="15C8AE22">
      <w:pPr>
        <w:autoSpaceDE w:val="0"/>
        <w:autoSpaceDN w:val="0"/>
        <w:adjustRightInd w:val="0"/>
        <w:spacing w:line="360" w:lineRule="auto"/>
        <w:jc w:val="left"/>
        <w:rPr>
          <w:color w:val="000000"/>
          <w:sz w:val="24"/>
        </w:rPr>
      </w:pPr>
      <w:r>
        <w:rPr>
          <w:color w:val="000000"/>
          <w:sz w:val="24"/>
        </w:rPr>
        <w:t>b</w:t>
      </w:r>
      <w:r>
        <w:rPr>
          <w:rFonts w:hint="eastAsia"/>
          <w:color w:val="000000"/>
          <w:sz w:val="24"/>
        </w:rPr>
        <w:t>）实验室名称和地址；</w:t>
      </w:r>
    </w:p>
    <w:p w14:paraId="4B4FA7C4">
      <w:pPr>
        <w:autoSpaceDE w:val="0"/>
        <w:autoSpaceDN w:val="0"/>
        <w:adjustRightInd w:val="0"/>
        <w:spacing w:line="360" w:lineRule="auto"/>
        <w:jc w:val="left"/>
        <w:rPr>
          <w:color w:val="000000"/>
          <w:sz w:val="24"/>
        </w:rPr>
      </w:pPr>
      <w:r>
        <w:rPr>
          <w:color w:val="000000"/>
          <w:sz w:val="24"/>
        </w:rPr>
        <w:t>c</w:t>
      </w:r>
      <w:r>
        <w:rPr>
          <w:rFonts w:hint="eastAsia"/>
          <w:color w:val="000000"/>
          <w:sz w:val="24"/>
        </w:rPr>
        <w:t>）进行校准的地点（如果与实验室的地址不同）；</w:t>
      </w:r>
    </w:p>
    <w:p w14:paraId="7C20CAA8">
      <w:pPr>
        <w:autoSpaceDE w:val="0"/>
        <w:autoSpaceDN w:val="0"/>
        <w:adjustRightInd w:val="0"/>
        <w:spacing w:line="360" w:lineRule="auto"/>
        <w:jc w:val="left"/>
        <w:rPr>
          <w:color w:val="000000"/>
          <w:sz w:val="24"/>
        </w:rPr>
      </w:pPr>
      <w:r>
        <w:rPr>
          <w:color w:val="000000"/>
          <w:sz w:val="24"/>
        </w:rPr>
        <w:t>d</w:t>
      </w:r>
      <w:r>
        <w:rPr>
          <w:rFonts w:hint="eastAsia"/>
          <w:color w:val="000000"/>
          <w:sz w:val="24"/>
        </w:rPr>
        <w:t>）证书的唯一性标识（如编号），每页及总页数的标识；</w:t>
      </w:r>
    </w:p>
    <w:p w14:paraId="16BE7F01">
      <w:pPr>
        <w:autoSpaceDE w:val="0"/>
        <w:autoSpaceDN w:val="0"/>
        <w:adjustRightInd w:val="0"/>
        <w:spacing w:line="360" w:lineRule="auto"/>
        <w:jc w:val="left"/>
        <w:rPr>
          <w:color w:val="000000"/>
          <w:sz w:val="24"/>
        </w:rPr>
      </w:pPr>
      <w:r>
        <w:rPr>
          <w:color w:val="000000"/>
          <w:sz w:val="24"/>
        </w:rPr>
        <w:t>e</w:t>
      </w:r>
      <w:r>
        <w:rPr>
          <w:rFonts w:hint="eastAsia"/>
          <w:color w:val="000000"/>
          <w:sz w:val="24"/>
        </w:rPr>
        <w:t>）客户的名称和地址；</w:t>
      </w:r>
    </w:p>
    <w:p w14:paraId="17578DFC">
      <w:pPr>
        <w:autoSpaceDE w:val="0"/>
        <w:autoSpaceDN w:val="0"/>
        <w:adjustRightInd w:val="0"/>
        <w:spacing w:line="360" w:lineRule="auto"/>
        <w:jc w:val="left"/>
        <w:rPr>
          <w:color w:val="000000"/>
          <w:sz w:val="24"/>
        </w:rPr>
      </w:pPr>
      <w:r>
        <w:rPr>
          <w:color w:val="000000"/>
          <w:sz w:val="24"/>
        </w:rPr>
        <w:t>f</w:t>
      </w:r>
      <w:r>
        <w:rPr>
          <w:rFonts w:hint="eastAsia"/>
          <w:color w:val="000000"/>
          <w:sz w:val="24"/>
        </w:rPr>
        <w:t>）被校对象的描述和明确标识；</w:t>
      </w:r>
    </w:p>
    <w:p w14:paraId="5E12EEC1">
      <w:pPr>
        <w:autoSpaceDE w:val="0"/>
        <w:autoSpaceDN w:val="0"/>
        <w:adjustRightInd w:val="0"/>
        <w:spacing w:line="360" w:lineRule="auto"/>
        <w:jc w:val="left"/>
        <w:rPr>
          <w:color w:val="000000"/>
          <w:sz w:val="24"/>
        </w:rPr>
      </w:pPr>
      <w:r>
        <w:rPr>
          <w:color w:val="000000"/>
          <w:sz w:val="24"/>
        </w:rPr>
        <w:t>g</w:t>
      </w:r>
      <w:r>
        <w:rPr>
          <w:rFonts w:hint="eastAsia"/>
          <w:color w:val="000000"/>
          <w:sz w:val="24"/>
        </w:rPr>
        <w:t>）进行校准的日期，如果与校准结果的有效性和应用有关时，应说明被校对象的</w:t>
      </w:r>
    </w:p>
    <w:p w14:paraId="1F89CCE5">
      <w:pPr>
        <w:autoSpaceDE w:val="0"/>
        <w:autoSpaceDN w:val="0"/>
        <w:adjustRightInd w:val="0"/>
        <w:spacing w:line="360" w:lineRule="auto"/>
        <w:jc w:val="left"/>
        <w:rPr>
          <w:color w:val="000000"/>
          <w:sz w:val="24"/>
        </w:rPr>
      </w:pPr>
      <w:r>
        <w:rPr>
          <w:rFonts w:hint="eastAsia"/>
          <w:color w:val="000000"/>
          <w:sz w:val="24"/>
        </w:rPr>
        <w:t>接收日期；</w:t>
      </w:r>
    </w:p>
    <w:p w14:paraId="5D97D059">
      <w:pPr>
        <w:autoSpaceDE w:val="0"/>
        <w:autoSpaceDN w:val="0"/>
        <w:adjustRightInd w:val="0"/>
        <w:spacing w:line="360" w:lineRule="auto"/>
        <w:jc w:val="left"/>
        <w:rPr>
          <w:color w:val="000000"/>
          <w:sz w:val="24"/>
        </w:rPr>
      </w:pPr>
      <w:r>
        <w:rPr>
          <w:color w:val="000000"/>
          <w:sz w:val="24"/>
        </w:rPr>
        <w:t>h</w:t>
      </w:r>
      <w:r>
        <w:rPr>
          <w:rFonts w:hint="eastAsia"/>
          <w:color w:val="000000"/>
          <w:sz w:val="24"/>
        </w:rPr>
        <w:t>）如果与校准结果的有效性应用有关时，应对被校样品的抽样程序进行说明；</w:t>
      </w:r>
    </w:p>
    <w:p w14:paraId="0DD8E1F5">
      <w:pPr>
        <w:spacing w:line="360" w:lineRule="auto"/>
        <w:rPr>
          <w:color w:val="000000"/>
          <w:sz w:val="24"/>
        </w:rPr>
      </w:pPr>
      <w:r>
        <w:rPr>
          <w:color w:val="000000"/>
          <w:sz w:val="24"/>
        </w:rPr>
        <w:t>i</w:t>
      </w:r>
      <w:r>
        <w:rPr>
          <w:rFonts w:hint="eastAsia"/>
          <w:color w:val="000000"/>
          <w:sz w:val="24"/>
        </w:rPr>
        <w:t>）校准所依据的技术规范的标识，包括名称及代号；</w:t>
      </w:r>
    </w:p>
    <w:p w14:paraId="0C94070F">
      <w:pPr>
        <w:autoSpaceDE w:val="0"/>
        <w:autoSpaceDN w:val="0"/>
        <w:adjustRightInd w:val="0"/>
        <w:spacing w:line="360" w:lineRule="auto"/>
        <w:jc w:val="left"/>
        <w:rPr>
          <w:color w:val="000000"/>
          <w:sz w:val="24"/>
        </w:rPr>
      </w:pPr>
      <w:r>
        <w:rPr>
          <w:color w:val="000000"/>
          <w:sz w:val="24"/>
        </w:rPr>
        <w:t>j</w:t>
      </w:r>
      <w:r>
        <w:rPr>
          <w:rFonts w:hint="eastAsia"/>
          <w:color w:val="000000"/>
          <w:sz w:val="24"/>
        </w:rPr>
        <w:t>）本次校准所用测量标准的溯源性及有效性说明；</w:t>
      </w:r>
    </w:p>
    <w:p w14:paraId="159A34A1">
      <w:pPr>
        <w:autoSpaceDE w:val="0"/>
        <w:autoSpaceDN w:val="0"/>
        <w:adjustRightInd w:val="0"/>
        <w:spacing w:line="360" w:lineRule="auto"/>
        <w:jc w:val="left"/>
        <w:rPr>
          <w:color w:val="000000"/>
          <w:sz w:val="24"/>
        </w:rPr>
      </w:pPr>
      <w:r>
        <w:rPr>
          <w:color w:val="000000"/>
          <w:sz w:val="24"/>
        </w:rPr>
        <w:t>k</w:t>
      </w:r>
      <w:r>
        <w:rPr>
          <w:rFonts w:hint="eastAsia"/>
          <w:color w:val="000000"/>
          <w:sz w:val="24"/>
        </w:rPr>
        <w:t>）校准环境的描述；</w:t>
      </w:r>
    </w:p>
    <w:p w14:paraId="287F860D">
      <w:pPr>
        <w:autoSpaceDE w:val="0"/>
        <w:autoSpaceDN w:val="0"/>
        <w:adjustRightInd w:val="0"/>
        <w:spacing w:line="360" w:lineRule="auto"/>
        <w:jc w:val="left"/>
        <w:rPr>
          <w:color w:val="000000"/>
          <w:sz w:val="24"/>
        </w:rPr>
      </w:pPr>
      <w:r>
        <w:rPr>
          <w:color w:val="000000"/>
          <w:sz w:val="24"/>
        </w:rPr>
        <w:t>l</w:t>
      </w:r>
      <w:r>
        <w:rPr>
          <w:rFonts w:hint="eastAsia"/>
          <w:color w:val="000000"/>
          <w:sz w:val="24"/>
        </w:rPr>
        <w:t>）校准结果及其测量不确定度的说明；</w:t>
      </w:r>
    </w:p>
    <w:p w14:paraId="7B6B36AE">
      <w:pPr>
        <w:autoSpaceDE w:val="0"/>
        <w:autoSpaceDN w:val="0"/>
        <w:adjustRightInd w:val="0"/>
        <w:spacing w:line="360" w:lineRule="auto"/>
        <w:jc w:val="left"/>
        <w:rPr>
          <w:color w:val="000000"/>
          <w:sz w:val="24"/>
        </w:rPr>
      </w:pPr>
      <w:r>
        <w:rPr>
          <w:color w:val="000000"/>
          <w:sz w:val="24"/>
        </w:rPr>
        <w:t>m</w:t>
      </w:r>
      <w:r>
        <w:rPr>
          <w:rFonts w:hint="eastAsia"/>
          <w:color w:val="000000"/>
          <w:sz w:val="24"/>
        </w:rPr>
        <w:t>）对校准规范的偏离的说明；</w:t>
      </w:r>
    </w:p>
    <w:p w14:paraId="12A0F122">
      <w:pPr>
        <w:autoSpaceDE w:val="0"/>
        <w:autoSpaceDN w:val="0"/>
        <w:adjustRightInd w:val="0"/>
        <w:spacing w:line="360" w:lineRule="auto"/>
        <w:jc w:val="left"/>
        <w:rPr>
          <w:color w:val="000000"/>
          <w:sz w:val="24"/>
        </w:rPr>
      </w:pPr>
      <w:r>
        <w:rPr>
          <w:color w:val="000000"/>
          <w:sz w:val="24"/>
        </w:rPr>
        <w:t>n</w:t>
      </w:r>
      <w:r>
        <w:rPr>
          <w:rFonts w:hint="eastAsia"/>
          <w:color w:val="000000"/>
          <w:sz w:val="24"/>
        </w:rPr>
        <w:t>）校准证书及校准报告的签发人的签名、职务或等效标识；</w:t>
      </w:r>
    </w:p>
    <w:p w14:paraId="4E3F7867">
      <w:pPr>
        <w:autoSpaceDE w:val="0"/>
        <w:autoSpaceDN w:val="0"/>
        <w:adjustRightInd w:val="0"/>
        <w:spacing w:line="360" w:lineRule="auto"/>
        <w:jc w:val="left"/>
        <w:rPr>
          <w:color w:val="000000"/>
          <w:sz w:val="24"/>
        </w:rPr>
      </w:pPr>
      <w:r>
        <w:rPr>
          <w:color w:val="000000"/>
          <w:sz w:val="24"/>
        </w:rPr>
        <w:t>o</w:t>
      </w:r>
      <w:r>
        <w:rPr>
          <w:rFonts w:hint="eastAsia"/>
          <w:color w:val="000000"/>
          <w:sz w:val="24"/>
        </w:rPr>
        <w:t>）校准结果仅对被校对象有效的声明；</w:t>
      </w:r>
    </w:p>
    <w:p w14:paraId="296BBEFB">
      <w:r>
        <w:rPr>
          <w:rFonts w:ascii="Calibri" w:hAnsi="Calibri" w:cs="Calibri" w:eastAsiaTheme="minorEastAsia"/>
          <w:kern w:val="0"/>
          <w:sz w:val="24"/>
        </w:rPr>
        <w:t>p</w:t>
      </w:r>
      <w:r>
        <w:rPr>
          <w:rFonts w:hint="eastAsia" w:ascii="宋体" w:hAnsi="Calibri" w:cs="宋体"/>
          <w:kern w:val="0"/>
          <w:sz w:val="24"/>
        </w:rPr>
        <w:t>）未经实验室书面批准，不得部分复制证书的声明。</w:t>
      </w:r>
    </w:p>
    <w:p w14:paraId="017CB0EC">
      <w:pPr>
        <w:spacing w:line="360" w:lineRule="auto"/>
        <w:ind w:firstLine="482"/>
        <w:rPr>
          <w:color w:val="000000"/>
          <w:sz w:val="24"/>
        </w:rPr>
      </w:pPr>
      <w:r>
        <w:rPr>
          <w:color w:val="000000"/>
          <w:sz w:val="24"/>
        </w:rPr>
        <w:t>经校准后的</w:t>
      </w:r>
      <w:r>
        <w:rPr>
          <w:rFonts w:hint="eastAsia"/>
          <w:color w:val="000000"/>
          <w:sz w:val="24"/>
        </w:rPr>
        <w:t>干</w:t>
      </w:r>
      <w:r>
        <w:rPr>
          <w:rFonts w:hint="eastAsia"/>
          <w:sz w:val="24"/>
          <w:lang w:val="zh-CN"/>
        </w:rPr>
        <w:t>法</w:t>
      </w:r>
      <w:r>
        <w:rPr>
          <w:rFonts w:hint="eastAsia"/>
          <w:color w:val="000000"/>
          <w:sz w:val="24"/>
        </w:rPr>
        <w:t>进样激光粒度分析仪</w:t>
      </w:r>
      <w:r>
        <w:rPr>
          <w:color w:val="000000"/>
          <w:sz w:val="24"/>
        </w:rPr>
        <w:t>应核发校准证书，校准证书应符合JJF 1071</w:t>
      </w:r>
      <w:r>
        <w:rPr>
          <w:sz w:val="24"/>
        </w:rPr>
        <w:t>—</w:t>
      </w:r>
      <w:r>
        <w:rPr>
          <w:color w:val="000000"/>
          <w:sz w:val="24"/>
        </w:rPr>
        <w:t>2010中5.12的要求，并给出各校准项目名称和测量结果以及扩展不确定度。校准原始记录格式（推荐性表格）见附录A，校准证书内页格式（推荐性表格）见附录B。</w:t>
      </w:r>
    </w:p>
    <w:p w14:paraId="10FA46B8">
      <w:pPr>
        <w:pStyle w:val="8"/>
        <w:spacing w:line="360" w:lineRule="auto"/>
        <w:rPr>
          <w:rFonts w:ascii="Times New Roman" w:hAnsi="Times New Roman"/>
          <w:bCs w:val="0"/>
        </w:rPr>
      </w:pPr>
      <w:r>
        <w:rPr>
          <w:rFonts w:ascii="Times New Roman" w:hAnsi="Times New Roman"/>
          <w:b w:val="0"/>
          <w:bCs w:val="0"/>
        </w:rPr>
        <w:t>8.2  校准结果的测量不确定度</w:t>
      </w:r>
    </w:p>
    <w:p w14:paraId="1348F0B2">
      <w:pPr>
        <w:spacing w:line="360" w:lineRule="auto"/>
        <w:ind w:firstLine="480" w:firstLineChars="200"/>
        <w:rPr>
          <w:color w:val="000000"/>
          <w:sz w:val="24"/>
          <w:lang w:val="zh-CN"/>
        </w:rPr>
      </w:pPr>
      <w:r>
        <w:rPr>
          <w:rFonts w:hint="eastAsia"/>
          <w:color w:val="000000"/>
          <w:sz w:val="24"/>
        </w:rPr>
        <w:t>干法进样激光粒度分析</w:t>
      </w:r>
      <w:r>
        <w:rPr>
          <w:color w:val="000000"/>
          <w:sz w:val="24"/>
        </w:rPr>
        <w:t>仪校准结果的测量不确定度按JJF 1059.1</w:t>
      </w:r>
      <w:r>
        <w:rPr>
          <w:sz w:val="24"/>
        </w:rPr>
        <w:t>—</w:t>
      </w:r>
      <w:r>
        <w:rPr>
          <w:color w:val="000000"/>
          <w:sz w:val="24"/>
        </w:rPr>
        <w:t>2012的要求评定，校准结果测量不确定度评定示例见附录C</w:t>
      </w:r>
      <w:r>
        <w:rPr>
          <w:sz w:val="24"/>
        </w:rPr>
        <w:t>。</w:t>
      </w:r>
    </w:p>
    <w:p w14:paraId="6D2489E2">
      <w:pPr>
        <w:pStyle w:val="4"/>
        <w:spacing w:line="360" w:lineRule="auto"/>
        <w:rPr>
          <w:rFonts w:ascii="Times New Roman" w:hAnsi="Times New Roman" w:eastAsia="黑体"/>
          <w:b w:val="0"/>
          <w:bCs w:val="0"/>
          <w:sz w:val="24"/>
          <w:szCs w:val="24"/>
          <w:lang w:val="zh-CN"/>
        </w:rPr>
      </w:pPr>
      <w:bookmarkStart w:id="31" w:name="_Toc26803"/>
      <w:bookmarkStart w:id="32" w:name="_Toc16702"/>
      <w:bookmarkStart w:id="33" w:name="_Toc427490808"/>
      <w:r>
        <w:rPr>
          <w:rFonts w:ascii="Times New Roman" w:hAnsi="Times New Roman" w:eastAsia="黑体"/>
          <w:b w:val="0"/>
          <w:bCs w:val="0"/>
          <w:sz w:val="24"/>
          <w:szCs w:val="24"/>
          <w:lang w:val="zh-CN"/>
        </w:rPr>
        <w:t>9  复校时间间隔</w:t>
      </w:r>
      <w:bookmarkEnd w:id="31"/>
      <w:bookmarkEnd w:id="32"/>
      <w:bookmarkEnd w:id="33"/>
    </w:p>
    <w:p w14:paraId="2E306423">
      <w:pPr>
        <w:tabs>
          <w:tab w:val="right" w:pos="9360"/>
          <w:tab w:val="right" w:pos="9450"/>
          <w:tab w:val="right" w:leader="dot" w:pos="11340"/>
          <w:tab w:val="right" w:pos="14742"/>
        </w:tabs>
        <w:autoSpaceDE w:val="0"/>
        <w:autoSpaceDN w:val="0"/>
        <w:adjustRightInd w:val="0"/>
        <w:spacing w:line="360" w:lineRule="auto"/>
        <w:ind w:firstLine="480"/>
        <w:rPr>
          <w:sz w:val="24"/>
          <w:lang w:val="zh-CN"/>
        </w:rPr>
      </w:pPr>
      <w:r>
        <w:rPr>
          <w:sz w:val="24"/>
          <w:lang w:val="zh-CN"/>
        </w:rPr>
        <w:t>由于复校时间间隔的长短是由</w:t>
      </w:r>
      <w:r>
        <w:rPr>
          <w:rFonts w:hint="eastAsia"/>
          <w:color w:val="000000"/>
          <w:sz w:val="24"/>
        </w:rPr>
        <w:t>干法进样激光粒度分析</w:t>
      </w:r>
      <w:r>
        <w:rPr>
          <w:color w:val="000000"/>
          <w:sz w:val="24"/>
        </w:rPr>
        <w:t>仪</w:t>
      </w:r>
      <w:r>
        <w:rPr>
          <w:sz w:val="24"/>
          <w:lang w:val="zh-CN"/>
        </w:rPr>
        <w:t>的使用情况、使用者、</w:t>
      </w:r>
      <w:r>
        <w:rPr>
          <w:rFonts w:hint="eastAsia"/>
          <w:sz w:val="24"/>
          <w:lang w:val="zh-CN"/>
        </w:rPr>
        <w:t>干法进样激光粒度分析仪</w:t>
      </w:r>
      <w:r>
        <w:rPr>
          <w:sz w:val="24"/>
          <w:lang w:val="zh-CN"/>
        </w:rPr>
        <w:t>本身质量等诸因素所决定的，因此送校单位可根据实际使用情况自主决定复校时间间隔，复校时间间隔建议不超过1年。</w:t>
      </w:r>
    </w:p>
    <w:p w14:paraId="458555DF">
      <w:pPr>
        <w:pStyle w:val="4"/>
        <w:pageBreakBefore/>
        <w:spacing w:line="360" w:lineRule="auto"/>
        <w:rPr>
          <w:rFonts w:ascii="Times New Roman" w:hAnsi="Times New Roman"/>
          <w:b w:val="0"/>
          <w:color w:val="000000"/>
          <w:sz w:val="28"/>
          <w:szCs w:val="28"/>
          <w:lang w:val="zh-CN"/>
        </w:rPr>
      </w:pPr>
      <w:r>
        <w:rPr>
          <w:rFonts w:ascii="Times New Roman" w:hAnsi="Times New Roman" w:eastAsia="黑体"/>
          <w:b w:val="0"/>
          <w:color w:val="000000"/>
          <w:sz w:val="28"/>
          <w:szCs w:val="28"/>
          <w:lang w:val="zh-CN"/>
        </w:rPr>
        <w:t>附录A</w:t>
      </w:r>
    </w:p>
    <w:p w14:paraId="3F4206F4">
      <w:pPr>
        <w:spacing w:line="360" w:lineRule="auto"/>
        <w:jc w:val="center"/>
        <w:rPr>
          <w:color w:val="000000"/>
          <w:sz w:val="28"/>
          <w:szCs w:val="28"/>
        </w:rPr>
      </w:pPr>
      <w:r>
        <w:rPr>
          <w:rFonts w:eastAsia="黑体"/>
          <w:color w:val="000000"/>
          <w:sz w:val="28"/>
          <w:szCs w:val="28"/>
        </w:rPr>
        <w:t>校准原始记录格式</w:t>
      </w:r>
    </w:p>
    <w:p w14:paraId="715A86A4">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2910"/>
        <w:gridCol w:w="1589"/>
        <w:gridCol w:w="2976"/>
      </w:tblGrid>
      <w:tr w14:paraId="12D4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552149B7">
            <w:pPr>
              <w:spacing w:line="320" w:lineRule="exact"/>
              <w:jc w:val="center"/>
              <w:rPr>
                <w:color w:val="000000"/>
                <w:szCs w:val="21"/>
              </w:rPr>
            </w:pPr>
            <w:r>
              <w:rPr>
                <w:color w:val="000000"/>
                <w:szCs w:val="21"/>
              </w:rPr>
              <w:t>名称</w:t>
            </w:r>
          </w:p>
        </w:tc>
        <w:tc>
          <w:tcPr>
            <w:tcW w:w="2856" w:type="dxa"/>
            <w:vAlign w:val="center"/>
          </w:tcPr>
          <w:p w14:paraId="55E6A0C4">
            <w:pPr>
              <w:spacing w:line="320" w:lineRule="exact"/>
              <w:jc w:val="center"/>
              <w:rPr>
                <w:color w:val="000000"/>
                <w:szCs w:val="21"/>
              </w:rPr>
            </w:pPr>
          </w:p>
        </w:tc>
        <w:tc>
          <w:tcPr>
            <w:tcW w:w="1560" w:type="dxa"/>
            <w:vAlign w:val="center"/>
          </w:tcPr>
          <w:p w14:paraId="5E7C3742">
            <w:pPr>
              <w:spacing w:line="320" w:lineRule="exact"/>
              <w:jc w:val="center"/>
              <w:rPr>
                <w:color w:val="000000"/>
                <w:szCs w:val="21"/>
              </w:rPr>
            </w:pPr>
            <w:r>
              <w:rPr>
                <w:color w:val="000000"/>
                <w:szCs w:val="21"/>
              </w:rPr>
              <w:t>型号规格</w:t>
            </w:r>
          </w:p>
        </w:tc>
        <w:tc>
          <w:tcPr>
            <w:tcW w:w="2921" w:type="dxa"/>
            <w:vAlign w:val="center"/>
          </w:tcPr>
          <w:p w14:paraId="42413AA6">
            <w:pPr>
              <w:spacing w:line="320" w:lineRule="exact"/>
              <w:jc w:val="center"/>
              <w:rPr>
                <w:color w:val="000000"/>
                <w:szCs w:val="21"/>
              </w:rPr>
            </w:pPr>
          </w:p>
        </w:tc>
      </w:tr>
      <w:tr w14:paraId="3491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450817CF">
            <w:pPr>
              <w:spacing w:line="320" w:lineRule="exact"/>
              <w:jc w:val="center"/>
              <w:rPr>
                <w:color w:val="000000"/>
                <w:szCs w:val="21"/>
              </w:rPr>
            </w:pPr>
            <w:r>
              <w:rPr>
                <w:color w:val="000000"/>
                <w:szCs w:val="21"/>
              </w:rPr>
              <w:t>制造厂商</w:t>
            </w:r>
          </w:p>
        </w:tc>
        <w:tc>
          <w:tcPr>
            <w:tcW w:w="2856" w:type="dxa"/>
            <w:vAlign w:val="center"/>
          </w:tcPr>
          <w:p w14:paraId="77975E91">
            <w:pPr>
              <w:spacing w:line="320" w:lineRule="exact"/>
              <w:jc w:val="center"/>
              <w:rPr>
                <w:color w:val="000000"/>
                <w:szCs w:val="21"/>
              </w:rPr>
            </w:pPr>
          </w:p>
        </w:tc>
        <w:tc>
          <w:tcPr>
            <w:tcW w:w="1560" w:type="dxa"/>
            <w:vAlign w:val="center"/>
          </w:tcPr>
          <w:p w14:paraId="6DDA5B3A">
            <w:pPr>
              <w:spacing w:line="320" w:lineRule="exact"/>
              <w:jc w:val="center"/>
              <w:rPr>
                <w:color w:val="000000"/>
                <w:szCs w:val="21"/>
              </w:rPr>
            </w:pPr>
            <w:r>
              <w:rPr>
                <w:color w:val="000000"/>
                <w:szCs w:val="21"/>
              </w:rPr>
              <w:t>出厂编号</w:t>
            </w:r>
          </w:p>
        </w:tc>
        <w:tc>
          <w:tcPr>
            <w:tcW w:w="2921" w:type="dxa"/>
            <w:vAlign w:val="center"/>
          </w:tcPr>
          <w:p w14:paraId="3B581DAC">
            <w:pPr>
              <w:spacing w:line="320" w:lineRule="exact"/>
              <w:jc w:val="center"/>
              <w:rPr>
                <w:color w:val="000000"/>
                <w:szCs w:val="21"/>
              </w:rPr>
            </w:pPr>
          </w:p>
        </w:tc>
      </w:tr>
      <w:tr w14:paraId="10BA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7BC0BE3D">
            <w:pPr>
              <w:spacing w:line="320" w:lineRule="exact"/>
              <w:jc w:val="center"/>
              <w:rPr>
                <w:color w:val="000000"/>
                <w:szCs w:val="21"/>
              </w:rPr>
            </w:pPr>
            <w:r>
              <w:rPr>
                <w:color w:val="000000"/>
                <w:szCs w:val="21"/>
              </w:rPr>
              <w:t>委托单位</w:t>
            </w:r>
          </w:p>
        </w:tc>
        <w:tc>
          <w:tcPr>
            <w:tcW w:w="2856" w:type="dxa"/>
            <w:vAlign w:val="center"/>
          </w:tcPr>
          <w:p w14:paraId="11908E9E">
            <w:pPr>
              <w:spacing w:line="320" w:lineRule="exact"/>
              <w:jc w:val="center"/>
              <w:rPr>
                <w:color w:val="000000"/>
                <w:szCs w:val="21"/>
              </w:rPr>
            </w:pPr>
          </w:p>
        </w:tc>
        <w:tc>
          <w:tcPr>
            <w:tcW w:w="1560" w:type="dxa"/>
            <w:vAlign w:val="center"/>
          </w:tcPr>
          <w:p w14:paraId="59D38A40">
            <w:pPr>
              <w:spacing w:line="320" w:lineRule="exact"/>
              <w:jc w:val="center"/>
              <w:rPr>
                <w:color w:val="000000"/>
                <w:szCs w:val="21"/>
              </w:rPr>
            </w:pPr>
            <w:r>
              <w:rPr>
                <w:color w:val="000000"/>
                <w:szCs w:val="21"/>
              </w:rPr>
              <w:t>地址</w:t>
            </w:r>
          </w:p>
        </w:tc>
        <w:tc>
          <w:tcPr>
            <w:tcW w:w="2921" w:type="dxa"/>
            <w:vAlign w:val="center"/>
          </w:tcPr>
          <w:p w14:paraId="24513335">
            <w:pPr>
              <w:spacing w:line="320" w:lineRule="exact"/>
              <w:jc w:val="center"/>
              <w:rPr>
                <w:color w:val="000000"/>
                <w:szCs w:val="21"/>
              </w:rPr>
            </w:pPr>
          </w:p>
        </w:tc>
      </w:tr>
      <w:tr w14:paraId="3E6A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006B031F">
            <w:pPr>
              <w:spacing w:line="320" w:lineRule="exact"/>
              <w:jc w:val="center"/>
              <w:rPr>
                <w:color w:val="000000"/>
                <w:szCs w:val="21"/>
              </w:rPr>
            </w:pPr>
            <w:r>
              <w:rPr>
                <w:color w:val="000000"/>
                <w:szCs w:val="21"/>
              </w:rPr>
              <w:t>温度</w:t>
            </w:r>
          </w:p>
        </w:tc>
        <w:tc>
          <w:tcPr>
            <w:tcW w:w="2856" w:type="dxa"/>
            <w:vAlign w:val="center"/>
          </w:tcPr>
          <w:p w14:paraId="6CBA887E">
            <w:pPr>
              <w:spacing w:line="320" w:lineRule="exact"/>
              <w:jc w:val="center"/>
              <w:rPr>
                <w:color w:val="000000"/>
                <w:szCs w:val="21"/>
              </w:rPr>
            </w:pPr>
          </w:p>
        </w:tc>
        <w:tc>
          <w:tcPr>
            <w:tcW w:w="1560" w:type="dxa"/>
            <w:vAlign w:val="center"/>
          </w:tcPr>
          <w:p w14:paraId="06657B4B">
            <w:pPr>
              <w:spacing w:line="320" w:lineRule="exact"/>
              <w:jc w:val="center"/>
              <w:rPr>
                <w:color w:val="000000"/>
                <w:szCs w:val="21"/>
              </w:rPr>
            </w:pPr>
            <w:r>
              <w:rPr>
                <w:color w:val="000000"/>
                <w:szCs w:val="21"/>
              </w:rPr>
              <w:t>湿度</w:t>
            </w:r>
          </w:p>
        </w:tc>
        <w:tc>
          <w:tcPr>
            <w:tcW w:w="2921" w:type="dxa"/>
            <w:vAlign w:val="center"/>
          </w:tcPr>
          <w:p w14:paraId="2E41BC15">
            <w:pPr>
              <w:spacing w:line="320" w:lineRule="exact"/>
              <w:jc w:val="center"/>
              <w:rPr>
                <w:color w:val="000000"/>
                <w:szCs w:val="21"/>
              </w:rPr>
            </w:pPr>
          </w:p>
        </w:tc>
      </w:tr>
      <w:tr w14:paraId="301E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71F1D270">
            <w:pPr>
              <w:spacing w:line="320" w:lineRule="exact"/>
              <w:jc w:val="center"/>
              <w:rPr>
                <w:color w:val="000000"/>
                <w:szCs w:val="21"/>
              </w:rPr>
            </w:pPr>
            <w:r>
              <w:rPr>
                <w:color w:val="000000"/>
                <w:szCs w:val="21"/>
              </w:rPr>
              <w:t>记录编号</w:t>
            </w:r>
          </w:p>
        </w:tc>
        <w:tc>
          <w:tcPr>
            <w:tcW w:w="2856" w:type="dxa"/>
            <w:vAlign w:val="center"/>
          </w:tcPr>
          <w:p w14:paraId="02035B3E">
            <w:pPr>
              <w:spacing w:line="320" w:lineRule="exact"/>
              <w:jc w:val="center"/>
              <w:rPr>
                <w:color w:val="000000"/>
                <w:szCs w:val="21"/>
              </w:rPr>
            </w:pPr>
          </w:p>
        </w:tc>
        <w:tc>
          <w:tcPr>
            <w:tcW w:w="1560" w:type="dxa"/>
            <w:vAlign w:val="center"/>
          </w:tcPr>
          <w:p w14:paraId="27EE05F2">
            <w:pPr>
              <w:spacing w:line="320" w:lineRule="exact"/>
              <w:jc w:val="center"/>
              <w:rPr>
                <w:color w:val="000000"/>
                <w:szCs w:val="21"/>
              </w:rPr>
            </w:pPr>
            <w:r>
              <w:rPr>
                <w:color w:val="000000"/>
                <w:szCs w:val="21"/>
              </w:rPr>
              <w:t>校准日期</w:t>
            </w:r>
          </w:p>
        </w:tc>
        <w:tc>
          <w:tcPr>
            <w:tcW w:w="2921" w:type="dxa"/>
            <w:vAlign w:val="center"/>
          </w:tcPr>
          <w:p w14:paraId="7473F616">
            <w:pPr>
              <w:spacing w:line="320" w:lineRule="exact"/>
              <w:jc w:val="center"/>
              <w:rPr>
                <w:color w:val="000000"/>
                <w:szCs w:val="21"/>
              </w:rPr>
            </w:pPr>
          </w:p>
        </w:tc>
      </w:tr>
      <w:tr w14:paraId="5BCC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67" w:type="dxa"/>
            <w:vAlign w:val="center"/>
          </w:tcPr>
          <w:p w14:paraId="07B4793C">
            <w:pPr>
              <w:spacing w:line="320" w:lineRule="exact"/>
              <w:jc w:val="center"/>
              <w:rPr>
                <w:color w:val="000000"/>
                <w:szCs w:val="21"/>
              </w:rPr>
            </w:pPr>
            <w:r>
              <w:rPr>
                <w:color w:val="000000"/>
                <w:szCs w:val="21"/>
              </w:rPr>
              <w:t>校准员</w:t>
            </w:r>
          </w:p>
        </w:tc>
        <w:tc>
          <w:tcPr>
            <w:tcW w:w="2856" w:type="dxa"/>
            <w:vAlign w:val="center"/>
          </w:tcPr>
          <w:p w14:paraId="0AEEC699">
            <w:pPr>
              <w:spacing w:line="320" w:lineRule="exact"/>
              <w:jc w:val="center"/>
              <w:rPr>
                <w:color w:val="000000"/>
                <w:szCs w:val="21"/>
              </w:rPr>
            </w:pPr>
          </w:p>
        </w:tc>
        <w:tc>
          <w:tcPr>
            <w:tcW w:w="1560" w:type="dxa"/>
            <w:vAlign w:val="center"/>
          </w:tcPr>
          <w:p w14:paraId="7AF1BF49">
            <w:pPr>
              <w:spacing w:line="320" w:lineRule="exact"/>
              <w:jc w:val="center"/>
              <w:rPr>
                <w:color w:val="000000"/>
                <w:szCs w:val="21"/>
              </w:rPr>
            </w:pPr>
            <w:r>
              <w:rPr>
                <w:color w:val="000000"/>
                <w:szCs w:val="21"/>
              </w:rPr>
              <w:t>核验员</w:t>
            </w:r>
          </w:p>
        </w:tc>
        <w:tc>
          <w:tcPr>
            <w:tcW w:w="2921" w:type="dxa"/>
            <w:vAlign w:val="center"/>
          </w:tcPr>
          <w:p w14:paraId="59835CCE">
            <w:pPr>
              <w:spacing w:line="320" w:lineRule="exact"/>
              <w:jc w:val="center"/>
              <w:rPr>
                <w:color w:val="000000"/>
                <w:szCs w:val="21"/>
              </w:rPr>
            </w:pPr>
          </w:p>
        </w:tc>
      </w:tr>
    </w:tbl>
    <w:p w14:paraId="240F4A73">
      <w:pPr>
        <w:numPr>
          <w:ilvl w:val="0"/>
          <w:numId w:val="5"/>
        </w:numPr>
        <w:spacing w:line="400" w:lineRule="exact"/>
        <w:rPr>
          <w:rFonts w:eastAsia="黑体"/>
          <w:color w:val="000000"/>
          <w:sz w:val="24"/>
        </w:rPr>
      </w:pPr>
      <w:r>
        <w:rPr>
          <w:rFonts w:eastAsia="黑体"/>
          <w:color w:val="000000"/>
          <w:sz w:val="24"/>
        </w:rPr>
        <w:t>外观及功能检查</w:t>
      </w:r>
    </w:p>
    <w:tbl>
      <w:tblPr>
        <w:tblStyle w:val="88"/>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551"/>
        <w:gridCol w:w="4521"/>
      </w:tblGrid>
      <w:tr w14:paraId="5B6C1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exact"/>
          <w:jc w:val="center"/>
        </w:trPr>
        <w:tc>
          <w:tcPr>
            <w:tcW w:w="4468" w:type="dxa"/>
            <w:tcBorders>
              <w:top w:val="single" w:color="auto" w:sz="2" w:space="0"/>
              <w:left w:val="single" w:color="auto" w:sz="2" w:space="0"/>
              <w:bottom w:val="single" w:color="auto" w:sz="2" w:space="0"/>
              <w:right w:val="single" w:color="auto" w:sz="2" w:space="0"/>
            </w:tcBorders>
            <w:vAlign w:val="center"/>
          </w:tcPr>
          <w:p w14:paraId="15B34652">
            <w:pPr>
              <w:widowControl/>
              <w:snapToGrid w:val="0"/>
              <w:spacing w:line="240" w:lineRule="exact"/>
              <w:contextualSpacing/>
              <w:jc w:val="center"/>
              <w:rPr>
                <w:rFonts w:ascii="宋体" w:hAnsi="宋体"/>
                <w:color w:val="000000"/>
                <w:kern w:val="0"/>
                <w:szCs w:val="21"/>
                <w:lang w:bidi="en-US"/>
              </w:rPr>
            </w:pPr>
            <w:r>
              <w:rPr>
                <w:rFonts w:ascii="宋体" w:hAnsi="宋体"/>
                <w:szCs w:val="21"/>
              </w:rPr>
              <w:t xml:space="preserve">□ </w:t>
            </w:r>
            <w:r>
              <w:rPr>
                <w:rFonts w:ascii="宋体" w:hAnsi="宋体"/>
                <w:color w:val="000000"/>
                <w:szCs w:val="21"/>
              </w:rPr>
              <w:t>符合要求</w:t>
            </w:r>
          </w:p>
        </w:tc>
        <w:tc>
          <w:tcPr>
            <w:tcW w:w="4438" w:type="dxa"/>
            <w:tcBorders>
              <w:top w:val="single" w:color="auto" w:sz="2" w:space="0"/>
              <w:left w:val="single" w:color="auto" w:sz="2" w:space="0"/>
              <w:bottom w:val="single" w:color="auto" w:sz="2" w:space="0"/>
              <w:right w:val="single" w:color="auto" w:sz="2" w:space="0"/>
            </w:tcBorders>
            <w:vAlign w:val="center"/>
          </w:tcPr>
          <w:p w14:paraId="0106EEA9">
            <w:pPr>
              <w:widowControl/>
              <w:snapToGrid w:val="0"/>
              <w:spacing w:line="240" w:lineRule="exact"/>
              <w:contextualSpacing/>
              <w:jc w:val="center"/>
              <w:rPr>
                <w:rFonts w:ascii="宋体" w:hAnsi="宋体"/>
                <w:color w:val="000000"/>
                <w:kern w:val="0"/>
                <w:szCs w:val="21"/>
                <w:lang w:bidi="en-US"/>
              </w:rPr>
            </w:pPr>
            <w:r>
              <w:rPr>
                <w:rFonts w:ascii="宋体" w:hAnsi="宋体"/>
                <w:szCs w:val="21"/>
              </w:rPr>
              <w:t>□</w:t>
            </w:r>
            <w:r>
              <w:rPr>
                <w:rFonts w:ascii="宋体" w:hAnsi="宋体"/>
                <w:color w:val="000000"/>
                <w:szCs w:val="21"/>
              </w:rPr>
              <w:t>不符合要求</w:t>
            </w:r>
          </w:p>
        </w:tc>
      </w:tr>
    </w:tbl>
    <w:p w14:paraId="5F4F5ECF">
      <w:pPr>
        <w:pStyle w:val="188"/>
        <w:numPr>
          <w:ilvl w:val="0"/>
          <w:numId w:val="5"/>
        </w:numPr>
        <w:ind w:firstLineChars="0"/>
        <w:rPr>
          <w:rFonts w:eastAsia="黑体"/>
          <w:color w:val="000000"/>
          <w:sz w:val="24"/>
        </w:rPr>
      </w:pPr>
      <w:r>
        <w:rPr>
          <w:rFonts w:hint="eastAsia" w:eastAsia="黑体"/>
          <w:color w:val="000000"/>
          <w:sz w:val="24"/>
        </w:rPr>
        <w:t>示值误差</w:t>
      </w:r>
    </w:p>
    <w:tbl>
      <w:tblPr>
        <w:tblStyle w:val="88"/>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1"/>
        <w:gridCol w:w="992"/>
        <w:gridCol w:w="993"/>
        <w:gridCol w:w="992"/>
        <w:gridCol w:w="1683"/>
        <w:gridCol w:w="1960"/>
      </w:tblGrid>
      <w:tr w14:paraId="6475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41" w:type="dxa"/>
            <w:vMerge w:val="restart"/>
            <w:vAlign w:val="center"/>
          </w:tcPr>
          <w:p w14:paraId="196A63FF">
            <w:pPr>
              <w:jc w:val="center"/>
              <w:rPr>
                <w:bCs/>
                <w:color w:val="000000"/>
                <w:kern w:val="0"/>
                <w:szCs w:val="21"/>
              </w:rPr>
            </w:pPr>
            <m:oMath>
              <m:sSub>
                <m:sSubPr>
                  <m:ctrlPr>
                    <w:rPr>
                      <w:rFonts w:ascii="Cambria Math" w:hAnsi="Cambria Math"/>
                      <w:bCs/>
                      <w:i/>
                      <w:sz w:val="24"/>
                    </w:rPr>
                  </m:ctrlPr>
                </m:sSubPr>
                <m:e>
                  <m:r>
                    <m:rPr>
                      <m:sty m:val="p"/>
                    </m:rPr>
                    <w:rPr>
                      <w:rFonts w:ascii="Cambria Math" w:hAnsi="Cambria Math"/>
                      <w:sz w:val="24"/>
                    </w:rPr>
                    <m:t>标准值</m:t>
                  </m:r>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r>
                <m:rPr/>
                <w:rPr>
                  <w:rFonts w:ascii="Cambria Math" w:hAnsi="Cambria Math"/>
                  <w:sz w:val="24"/>
                </w:rPr>
                <m:t xml:space="preserve"> </m:t>
              </m:r>
            </m:oMath>
            <w:r>
              <w:rPr>
                <w:rFonts w:hint="eastAsia"/>
                <w:bCs/>
                <w:sz w:val="24"/>
              </w:rPr>
              <w:t xml:space="preserve"> </w:t>
            </w:r>
            <w:r>
              <w:rPr>
                <w:bCs/>
                <w:color w:val="000000"/>
                <w:kern w:val="0"/>
                <w:szCs w:val="21"/>
              </w:rPr>
              <w:t xml:space="preserve">/ </w:t>
            </w:r>
            <w:r>
              <w:rPr>
                <w:rFonts w:hint="eastAsia"/>
                <w:bCs/>
                <w:color w:val="000000"/>
                <w:kern w:val="0"/>
                <w:szCs w:val="21"/>
              </w:rPr>
              <w:t>μm</w:t>
            </w:r>
          </w:p>
        </w:tc>
        <w:tc>
          <w:tcPr>
            <w:tcW w:w="2977" w:type="dxa"/>
            <w:gridSpan w:val="3"/>
            <w:vAlign w:val="center"/>
          </w:tcPr>
          <w:p w14:paraId="4EE86CC1">
            <w:pPr>
              <w:jc w:val="center"/>
              <w:rPr>
                <w:bCs/>
                <w:color w:val="000000"/>
                <w:kern w:val="0"/>
                <w:szCs w:val="21"/>
              </w:rPr>
            </w:pPr>
            <m:oMath>
              <m:sSub>
                <m:sSubPr>
                  <m:ctrlPr>
                    <w:rPr>
                      <w:rFonts w:ascii="Cambria Math" w:hAnsi="Cambria Math"/>
                      <w:bCs/>
                      <w:i/>
                      <w:iCs/>
                      <w:color w:val="000000"/>
                      <w:kern w:val="0"/>
                      <w:szCs w:val="21"/>
                    </w:rPr>
                  </m:ctrlPr>
                </m:sSubPr>
                <m:e>
                  <m:r>
                    <m:rPr>
                      <m:sty m:val="p"/>
                    </m:rPr>
                    <w:rPr>
                      <w:rFonts w:ascii="Cambria Math" w:hAnsi="Cambria Math"/>
                      <w:color w:val="000000"/>
                      <w:kern w:val="0"/>
                      <w:szCs w:val="21"/>
                    </w:rPr>
                    <m:t>测量值</m:t>
                  </m:r>
                  <m:r>
                    <m:rPr/>
                    <w:rPr>
                      <w:rFonts w:ascii="Cambria Math" w:hAnsi="Cambria Math"/>
                      <w:color w:val="000000"/>
                      <w:kern w:val="0"/>
                      <w:szCs w:val="21"/>
                    </w:rPr>
                    <m:t>D</m:t>
                  </m:r>
                  <m:ctrlPr>
                    <w:rPr>
                      <w:rFonts w:ascii="Cambria Math" w:hAnsi="Cambria Math"/>
                      <w:bCs/>
                      <w:i/>
                      <w:iCs/>
                      <w:color w:val="000000"/>
                      <w:kern w:val="0"/>
                      <w:szCs w:val="21"/>
                    </w:rPr>
                  </m:ctrlPr>
                </m:e>
                <m:sub>
                  <m:r>
                    <m:rPr/>
                    <w:rPr>
                      <w:rFonts w:ascii="Cambria Math" w:hAnsi="Cambria Math"/>
                      <w:color w:val="000000"/>
                      <w:kern w:val="0"/>
                      <w:szCs w:val="21"/>
                    </w:rPr>
                    <m:t>50</m:t>
                  </m:r>
                  <m:ctrlPr>
                    <w:rPr>
                      <w:rFonts w:ascii="Cambria Math" w:hAnsi="Cambria Math"/>
                      <w:bCs/>
                      <w:i/>
                      <w:iCs/>
                      <w:color w:val="000000"/>
                      <w:kern w:val="0"/>
                      <w:szCs w:val="21"/>
                    </w:rPr>
                  </m:ctrlPr>
                </m:sub>
              </m:sSub>
              <m:r>
                <m:rPr/>
                <w:rPr>
                  <w:rFonts w:ascii="Cambria Math" w:hAnsi="Cambria Math"/>
                  <w:color w:val="000000"/>
                  <w:kern w:val="0"/>
                  <w:szCs w:val="21"/>
                </w:rPr>
                <m:t xml:space="preserve"> </m:t>
              </m:r>
            </m:oMath>
            <w:r>
              <w:rPr>
                <w:bCs/>
                <w:color w:val="000000"/>
                <w:kern w:val="0"/>
                <w:szCs w:val="21"/>
              </w:rPr>
              <w:t xml:space="preserve">/ </w:t>
            </w:r>
            <w:r>
              <w:rPr>
                <w:rFonts w:hint="eastAsia"/>
                <w:bCs/>
                <w:color w:val="000000"/>
                <w:kern w:val="0"/>
                <w:szCs w:val="21"/>
              </w:rPr>
              <w:t>μm</w:t>
            </w:r>
          </w:p>
        </w:tc>
        <w:tc>
          <w:tcPr>
            <w:tcW w:w="1683" w:type="dxa"/>
            <w:vMerge w:val="restart"/>
            <w:vAlign w:val="center"/>
          </w:tcPr>
          <w:p w14:paraId="71AB0272">
            <w:pPr>
              <w:jc w:val="center"/>
              <w:rPr>
                <w:bCs/>
                <w:color w:val="000000"/>
                <w:kern w:val="0"/>
                <w:szCs w:val="21"/>
              </w:rPr>
            </w:pPr>
            <w:r>
              <w:rPr>
                <w:rFonts w:hint="eastAsia"/>
                <w:bCs/>
                <w:iCs/>
                <w:color w:val="000000"/>
                <w:kern w:val="0"/>
                <w:szCs w:val="21"/>
              </w:rPr>
              <w:t>平均值</w:t>
            </w:r>
            <m:oMath>
              <m:bar>
                <m:barPr>
                  <m:pos m:val="top"/>
                  <m:ctrlPr>
                    <w:rPr>
                      <w:rFonts w:ascii="Cambria Math" w:hAnsi="Cambria Math"/>
                      <w:bCs/>
                      <w:i/>
                      <w:iCs/>
                      <w:color w:val="000000"/>
                      <w:kern w:val="0"/>
                      <w:szCs w:val="21"/>
                    </w:rPr>
                  </m:ctrlPr>
                </m:barPr>
                <m:e>
                  <m:sSub>
                    <m:sSubPr>
                      <m:ctrlPr>
                        <w:rPr>
                          <w:rFonts w:ascii="Cambria Math" w:hAnsi="Cambria Math"/>
                          <w:bCs/>
                          <w:i/>
                          <w:iCs/>
                          <w:color w:val="000000"/>
                          <w:kern w:val="0"/>
                          <w:szCs w:val="21"/>
                        </w:rPr>
                      </m:ctrlPr>
                    </m:sSubPr>
                    <m:e>
                      <m:r>
                        <m:rPr/>
                        <w:rPr>
                          <w:rFonts w:ascii="Cambria Math" w:hAnsi="Cambria Math"/>
                          <w:color w:val="000000"/>
                          <w:kern w:val="0"/>
                          <w:szCs w:val="21"/>
                        </w:rPr>
                        <m:t>D</m:t>
                      </m:r>
                      <m:ctrlPr>
                        <w:rPr>
                          <w:rFonts w:ascii="Cambria Math" w:hAnsi="Cambria Math"/>
                          <w:bCs/>
                          <w:i/>
                          <w:iCs/>
                          <w:color w:val="000000"/>
                          <w:kern w:val="0"/>
                          <w:szCs w:val="21"/>
                        </w:rPr>
                      </m:ctrlPr>
                    </m:e>
                    <m:sub>
                      <m:r>
                        <m:rPr/>
                        <w:rPr>
                          <w:rFonts w:ascii="Cambria Math" w:hAnsi="Cambria Math"/>
                          <w:color w:val="000000"/>
                          <w:kern w:val="0"/>
                          <w:szCs w:val="21"/>
                        </w:rPr>
                        <m:t>50</m:t>
                      </m:r>
                      <m:ctrlPr>
                        <w:rPr>
                          <w:rFonts w:ascii="Cambria Math" w:hAnsi="Cambria Math"/>
                          <w:bCs/>
                          <w:i/>
                          <w:iCs/>
                          <w:color w:val="000000"/>
                          <w:kern w:val="0"/>
                          <w:szCs w:val="21"/>
                        </w:rPr>
                      </m:ctrlPr>
                    </m:sub>
                  </m:sSub>
                  <m:r>
                    <m:rPr/>
                    <w:rPr>
                      <w:rFonts w:ascii="Cambria Math" w:hAnsi="Cambria Math"/>
                      <w:color w:val="000000"/>
                      <w:kern w:val="0"/>
                      <w:szCs w:val="21"/>
                    </w:rPr>
                    <m:t xml:space="preserve"> </m:t>
                  </m:r>
                  <m:ctrlPr>
                    <w:rPr>
                      <w:rFonts w:ascii="Cambria Math" w:hAnsi="Cambria Math"/>
                      <w:bCs/>
                      <w:i/>
                      <w:iCs/>
                      <w:color w:val="000000"/>
                      <w:kern w:val="0"/>
                      <w:szCs w:val="21"/>
                    </w:rPr>
                  </m:ctrlPr>
                </m:e>
              </m:bar>
            </m:oMath>
            <w:r>
              <w:rPr>
                <w:bCs/>
                <w:color w:val="000000"/>
                <w:kern w:val="0"/>
                <w:szCs w:val="21"/>
              </w:rPr>
              <w:t>/</w:t>
            </w:r>
            <w:r>
              <w:rPr>
                <w:rFonts w:hint="eastAsia"/>
                <w:bCs/>
                <w:color w:val="000000"/>
                <w:kern w:val="0"/>
                <w:szCs w:val="21"/>
              </w:rPr>
              <w:t>μm</w:t>
            </w:r>
          </w:p>
        </w:tc>
        <w:tc>
          <w:tcPr>
            <w:tcW w:w="1960" w:type="dxa"/>
            <w:vMerge w:val="restart"/>
            <w:vAlign w:val="center"/>
          </w:tcPr>
          <w:p w14:paraId="12694E38">
            <w:pPr>
              <w:jc w:val="center"/>
              <w:rPr>
                <w:bCs/>
                <w:color w:val="000000"/>
                <w:kern w:val="0"/>
                <w:szCs w:val="21"/>
              </w:rPr>
            </w:pPr>
            <w:r>
              <w:rPr>
                <w:rFonts w:hint="eastAsia"/>
                <w:color w:val="000000"/>
                <w:kern w:val="0"/>
                <w:szCs w:val="21"/>
              </w:rPr>
              <w:t xml:space="preserve">示值误差 </w:t>
            </w:r>
            <w:r>
              <w:rPr>
                <w:bCs/>
                <w:color w:val="000000"/>
                <w:kern w:val="0"/>
                <w:szCs w:val="21"/>
              </w:rPr>
              <w:t>/ %</w:t>
            </w:r>
          </w:p>
        </w:tc>
      </w:tr>
      <w:tr w14:paraId="40DE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41" w:type="dxa"/>
            <w:vMerge w:val="continue"/>
            <w:vAlign w:val="center"/>
          </w:tcPr>
          <w:p w14:paraId="088E04B9">
            <w:pPr>
              <w:jc w:val="center"/>
              <w:rPr>
                <w:bCs/>
                <w:color w:val="000000"/>
                <w:kern w:val="0"/>
                <w:szCs w:val="21"/>
              </w:rPr>
            </w:pPr>
          </w:p>
        </w:tc>
        <w:tc>
          <w:tcPr>
            <w:tcW w:w="992" w:type="dxa"/>
            <w:vAlign w:val="center"/>
          </w:tcPr>
          <w:p w14:paraId="5D977C7E">
            <w:pPr>
              <w:jc w:val="center"/>
              <w:rPr>
                <w:bCs/>
                <w:color w:val="000000"/>
                <w:kern w:val="0"/>
                <w:szCs w:val="21"/>
              </w:rPr>
            </w:pPr>
            <w:r>
              <w:rPr>
                <w:bCs/>
                <w:color w:val="000000"/>
                <w:kern w:val="0"/>
                <w:szCs w:val="21"/>
              </w:rPr>
              <w:t>1</w:t>
            </w:r>
          </w:p>
        </w:tc>
        <w:tc>
          <w:tcPr>
            <w:tcW w:w="993" w:type="dxa"/>
            <w:vAlign w:val="center"/>
          </w:tcPr>
          <w:p w14:paraId="04D8401D">
            <w:pPr>
              <w:jc w:val="center"/>
              <w:rPr>
                <w:bCs/>
                <w:color w:val="000000"/>
                <w:kern w:val="0"/>
                <w:szCs w:val="21"/>
              </w:rPr>
            </w:pPr>
            <w:r>
              <w:rPr>
                <w:bCs/>
                <w:color w:val="000000"/>
                <w:kern w:val="0"/>
                <w:szCs w:val="21"/>
              </w:rPr>
              <w:t>2</w:t>
            </w:r>
          </w:p>
        </w:tc>
        <w:tc>
          <w:tcPr>
            <w:tcW w:w="992" w:type="dxa"/>
            <w:vAlign w:val="center"/>
          </w:tcPr>
          <w:p w14:paraId="7F922B09">
            <w:pPr>
              <w:jc w:val="center"/>
              <w:rPr>
                <w:bCs/>
                <w:color w:val="000000"/>
                <w:kern w:val="0"/>
                <w:szCs w:val="21"/>
              </w:rPr>
            </w:pPr>
            <w:r>
              <w:rPr>
                <w:bCs/>
                <w:color w:val="000000"/>
                <w:kern w:val="0"/>
                <w:szCs w:val="21"/>
              </w:rPr>
              <w:t>3</w:t>
            </w:r>
          </w:p>
        </w:tc>
        <w:tc>
          <w:tcPr>
            <w:tcW w:w="1683" w:type="dxa"/>
            <w:vMerge w:val="continue"/>
            <w:vAlign w:val="center"/>
          </w:tcPr>
          <w:p w14:paraId="3AA061B8">
            <w:pPr>
              <w:jc w:val="center"/>
              <w:rPr>
                <w:bCs/>
                <w:color w:val="000000"/>
                <w:kern w:val="0"/>
                <w:szCs w:val="21"/>
              </w:rPr>
            </w:pPr>
          </w:p>
        </w:tc>
        <w:tc>
          <w:tcPr>
            <w:tcW w:w="1960" w:type="dxa"/>
            <w:vMerge w:val="continue"/>
            <w:vAlign w:val="center"/>
          </w:tcPr>
          <w:p w14:paraId="19FDB114">
            <w:pPr>
              <w:jc w:val="center"/>
              <w:rPr>
                <w:bCs/>
                <w:color w:val="000000"/>
                <w:kern w:val="0"/>
                <w:szCs w:val="21"/>
              </w:rPr>
            </w:pPr>
          </w:p>
        </w:tc>
      </w:tr>
      <w:tr w14:paraId="383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41" w:type="dxa"/>
            <w:vAlign w:val="center"/>
          </w:tcPr>
          <w:p w14:paraId="0C9FB6C7">
            <w:pPr>
              <w:jc w:val="center"/>
              <w:rPr>
                <w:bCs/>
                <w:color w:val="000000"/>
                <w:kern w:val="0"/>
                <w:szCs w:val="21"/>
              </w:rPr>
            </w:pPr>
          </w:p>
        </w:tc>
        <w:tc>
          <w:tcPr>
            <w:tcW w:w="992" w:type="dxa"/>
            <w:vAlign w:val="center"/>
          </w:tcPr>
          <w:p w14:paraId="28BBAC23">
            <w:pPr>
              <w:jc w:val="center"/>
              <w:rPr>
                <w:bCs/>
                <w:color w:val="000000"/>
                <w:kern w:val="0"/>
                <w:szCs w:val="21"/>
              </w:rPr>
            </w:pPr>
          </w:p>
        </w:tc>
        <w:tc>
          <w:tcPr>
            <w:tcW w:w="993" w:type="dxa"/>
            <w:vAlign w:val="center"/>
          </w:tcPr>
          <w:p w14:paraId="5F458265">
            <w:pPr>
              <w:jc w:val="center"/>
              <w:rPr>
                <w:bCs/>
                <w:color w:val="000000"/>
                <w:kern w:val="0"/>
                <w:szCs w:val="21"/>
              </w:rPr>
            </w:pPr>
          </w:p>
        </w:tc>
        <w:tc>
          <w:tcPr>
            <w:tcW w:w="992" w:type="dxa"/>
            <w:vAlign w:val="center"/>
          </w:tcPr>
          <w:p w14:paraId="10F047A5">
            <w:pPr>
              <w:jc w:val="center"/>
              <w:rPr>
                <w:bCs/>
                <w:color w:val="000000"/>
                <w:kern w:val="0"/>
                <w:szCs w:val="21"/>
              </w:rPr>
            </w:pPr>
          </w:p>
        </w:tc>
        <w:tc>
          <w:tcPr>
            <w:tcW w:w="1683" w:type="dxa"/>
            <w:vAlign w:val="center"/>
          </w:tcPr>
          <w:p w14:paraId="18B4E730">
            <w:pPr>
              <w:jc w:val="center"/>
              <w:rPr>
                <w:bCs/>
                <w:color w:val="000000"/>
                <w:kern w:val="0"/>
                <w:szCs w:val="21"/>
              </w:rPr>
            </w:pPr>
          </w:p>
        </w:tc>
        <w:tc>
          <w:tcPr>
            <w:tcW w:w="1960" w:type="dxa"/>
            <w:vAlign w:val="center"/>
          </w:tcPr>
          <w:p w14:paraId="44FE12E6">
            <w:pPr>
              <w:jc w:val="center"/>
              <w:rPr>
                <w:bCs/>
                <w:color w:val="000000"/>
                <w:kern w:val="0"/>
                <w:szCs w:val="21"/>
              </w:rPr>
            </w:pPr>
          </w:p>
        </w:tc>
      </w:tr>
      <w:tr w14:paraId="7072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41" w:type="dxa"/>
            <w:vAlign w:val="center"/>
          </w:tcPr>
          <w:p w14:paraId="6CA131E9">
            <w:pPr>
              <w:jc w:val="center"/>
              <w:rPr>
                <w:bCs/>
                <w:color w:val="000000"/>
                <w:kern w:val="0"/>
                <w:szCs w:val="21"/>
              </w:rPr>
            </w:pPr>
          </w:p>
        </w:tc>
        <w:tc>
          <w:tcPr>
            <w:tcW w:w="992" w:type="dxa"/>
            <w:vAlign w:val="center"/>
          </w:tcPr>
          <w:p w14:paraId="320C6C6F">
            <w:pPr>
              <w:jc w:val="center"/>
              <w:rPr>
                <w:bCs/>
                <w:color w:val="000000"/>
                <w:kern w:val="0"/>
                <w:szCs w:val="21"/>
              </w:rPr>
            </w:pPr>
          </w:p>
        </w:tc>
        <w:tc>
          <w:tcPr>
            <w:tcW w:w="993" w:type="dxa"/>
            <w:vAlign w:val="center"/>
          </w:tcPr>
          <w:p w14:paraId="6B7A7842">
            <w:pPr>
              <w:jc w:val="center"/>
              <w:rPr>
                <w:bCs/>
                <w:color w:val="000000"/>
                <w:kern w:val="0"/>
                <w:szCs w:val="21"/>
              </w:rPr>
            </w:pPr>
          </w:p>
        </w:tc>
        <w:tc>
          <w:tcPr>
            <w:tcW w:w="992" w:type="dxa"/>
            <w:vAlign w:val="center"/>
          </w:tcPr>
          <w:p w14:paraId="41D7ED22">
            <w:pPr>
              <w:jc w:val="center"/>
              <w:rPr>
                <w:bCs/>
                <w:color w:val="000000"/>
                <w:kern w:val="0"/>
                <w:szCs w:val="21"/>
              </w:rPr>
            </w:pPr>
          </w:p>
        </w:tc>
        <w:tc>
          <w:tcPr>
            <w:tcW w:w="1683" w:type="dxa"/>
            <w:vAlign w:val="center"/>
          </w:tcPr>
          <w:p w14:paraId="503B0077">
            <w:pPr>
              <w:jc w:val="center"/>
              <w:rPr>
                <w:bCs/>
                <w:color w:val="000000"/>
                <w:kern w:val="0"/>
                <w:szCs w:val="21"/>
              </w:rPr>
            </w:pPr>
          </w:p>
        </w:tc>
        <w:tc>
          <w:tcPr>
            <w:tcW w:w="1960" w:type="dxa"/>
            <w:vAlign w:val="center"/>
          </w:tcPr>
          <w:p w14:paraId="3ADB792C">
            <w:pPr>
              <w:jc w:val="center"/>
              <w:rPr>
                <w:bCs/>
                <w:color w:val="000000"/>
                <w:kern w:val="0"/>
                <w:szCs w:val="21"/>
              </w:rPr>
            </w:pPr>
          </w:p>
        </w:tc>
      </w:tr>
      <w:tr w14:paraId="459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41" w:type="dxa"/>
            <w:vAlign w:val="center"/>
          </w:tcPr>
          <w:p w14:paraId="7A93E69A">
            <w:pPr>
              <w:jc w:val="center"/>
              <w:rPr>
                <w:bCs/>
                <w:color w:val="000000"/>
                <w:kern w:val="0"/>
                <w:szCs w:val="21"/>
              </w:rPr>
            </w:pPr>
          </w:p>
        </w:tc>
        <w:tc>
          <w:tcPr>
            <w:tcW w:w="992" w:type="dxa"/>
            <w:vAlign w:val="center"/>
          </w:tcPr>
          <w:p w14:paraId="58E6BB17">
            <w:pPr>
              <w:jc w:val="center"/>
              <w:rPr>
                <w:bCs/>
                <w:color w:val="000000"/>
                <w:kern w:val="0"/>
                <w:szCs w:val="21"/>
              </w:rPr>
            </w:pPr>
          </w:p>
        </w:tc>
        <w:tc>
          <w:tcPr>
            <w:tcW w:w="993" w:type="dxa"/>
            <w:vAlign w:val="center"/>
          </w:tcPr>
          <w:p w14:paraId="1A71C0E2">
            <w:pPr>
              <w:jc w:val="center"/>
              <w:rPr>
                <w:bCs/>
                <w:color w:val="000000"/>
                <w:kern w:val="0"/>
                <w:szCs w:val="21"/>
              </w:rPr>
            </w:pPr>
          </w:p>
        </w:tc>
        <w:tc>
          <w:tcPr>
            <w:tcW w:w="992" w:type="dxa"/>
            <w:vAlign w:val="center"/>
          </w:tcPr>
          <w:p w14:paraId="1997E378">
            <w:pPr>
              <w:jc w:val="center"/>
              <w:rPr>
                <w:bCs/>
                <w:color w:val="000000"/>
                <w:kern w:val="0"/>
                <w:szCs w:val="21"/>
              </w:rPr>
            </w:pPr>
          </w:p>
        </w:tc>
        <w:tc>
          <w:tcPr>
            <w:tcW w:w="1683" w:type="dxa"/>
            <w:vAlign w:val="center"/>
          </w:tcPr>
          <w:p w14:paraId="72C9E666">
            <w:pPr>
              <w:jc w:val="center"/>
              <w:rPr>
                <w:bCs/>
                <w:color w:val="000000"/>
                <w:kern w:val="0"/>
                <w:szCs w:val="21"/>
              </w:rPr>
            </w:pPr>
          </w:p>
        </w:tc>
        <w:tc>
          <w:tcPr>
            <w:tcW w:w="1960" w:type="dxa"/>
            <w:vAlign w:val="center"/>
          </w:tcPr>
          <w:p w14:paraId="2839B9C5">
            <w:pPr>
              <w:jc w:val="center"/>
              <w:rPr>
                <w:bCs/>
                <w:color w:val="000000"/>
                <w:kern w:val="0"/>
                <w:szCs w:val="21"/>
              </w:rPr>
            </w:pPr>
          </w:p>
        </w:tc>
      </w:tr>
    </w:tbl>
    <w:p w14:paraId="3B06A309">
      <w:pPr>
        <w:numPr>
          <w:ilvl w:val="0"/>
          <w:numId w:val="5"/>
        </w:numPr>
        <w:spacing w:line="400" w:lineRule="exact"/>
        <w:rPr>
          <w:rFonts w:eastAsia="黑体"/>
          <w:color w:val="000000"/>
          <w:sz w:val="24"/>
        </w:rPr>
      </w:pPr>
      <w:r>
        <w:rPr>
          <w:rFonts w:hint="eastAsia" w:eastAsia="黑体"/>
          <w:color w:val="000000"/>
          <w:sz w:val="24"/>
        </w:rPr>
        <w:t>重复性</w:t>
      </w:r>
    </w:p>
    <w:tbl>
      <w:tblPr>
        <w:tblStyle w:val="88"/>
        <w:tblW w:w="49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828"/>
        <w:gridCol w:w="828"/>
        <w:gridCol w:w="832"/>
        <w:gridCol w:w="807"/>
        <w:gridCol w:w="723"/>
        <w:gridCol w:w="790"/>
        <w:gridCol w:w="1316"/>
        <w:gridCol w:w="1416"/>
      </w:tblGrid>
      <w:tr w14:paraId="1E12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8" w:type="pct"/>
            <w:vMerge w:val="restart"/>
            <w:vAlign w:val="center"/>
          </w:tcPr>
          <w:p w14:paraId="553BA769">
            <w:pPr>
              <w:jc w:val="center"/>
              <w:rPr>
                <w:bCs/>
                <w:color w:val="000000"/>
                <w:kern w:val="0"/>
                <w:szCs w:val="21"/>
              </w:rPr>
            </w:pPr>
            <m:oMath>
              <m:sSub>
                <m:sSubPr>
                  <m:ctrlPr>
                    <w:rPr>
                      <w:rFonts w:ascii="Cambria Math" w:hAnsi="Cambria Math"/>
                      <w:bCs/>
                      <w:i/>
                      <w:sz w:val="24"/>
                    </w:rPr>
                  </m:ctrlPr>
                </m:sSubPr>
                <m:e>
                  <m:r>
                    <m:rPr>
                      <m:sty m:val="p"/>
                    </m:rPr>
                    <w:rPr>
                      <w:rFonts w:ascii="Cambria Math" w:hAnsi="Cambria Math"/>
                      <w:sz w:val="24"/>
                    </w:rPr>
                    <m:t>标准值</m:t>
                  </m:r>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r>
                <m:rPr/>
                <w:rPr>
                  <w:rFonts w:ascii="Cambria Math" w:hAnsi="Cambria Math"/>
                  <w:sz w:val="24"/>
                </w:rPr>
                <m:t xml:space="preserve"> </m:t>
              </m:r>
            </m:oMath>
            <w:r>
              <w:rPr>
                <w:rFonts w:hint="eastAsia"/>
                <w:bCs/>
                <w:sz w:val="24"/>
              </w:rPr>
              <w:t xml:space="preserve"> </w:t>
            </w:r>
            <w:r>
              <w:rPr>
                <w:bCs/>
                <w:color w:val="000000"/>
                <w:kern w:val="0"/>
                <w:szCs w:val="21"/>
              </w:rPr>
              <w:t xml:space="preserve">/ </w:t>
            </w:r>
            <w:r>
              <w:rPr>
                <w:rFonts w:hint="eastAsia"/>
                <w:bCs/>
                <w:color w:val="000000"/>
                <w:kern w:val="0"/>
                <w:szCs w:val="21"/>
              </w:rPr>
              <w:t>μm</w:t>
            </w:r>
          </w:p>
        </w:tc>
        <w:tc>
          <w:tcPr>
            <w:tcW w:w="2635" w:type="pct"/>
            <w:gridSpan w:val="6"/>
            <w:vAlign w:val="center"/>
          </w:tcPr>
          <w:p w14:paraId="123C61BD">
            <w:pPr>
              <w:jc w:val="center"/>
              <w:rPr>
                <w:bCs/>
                <w:color w:val="000000"/>
                <w:kern w:val="0"/>
                <w:szCs w:val="21"/>
              </w:rPr>
            </w:pPr>
            <m:oMath>
              <m:sSub>
                <m:sSubPr>
                  <m:ctrlPr>
                    <w:rPr>
                      <w:rFonts w:ascii="Cambria Math" w:hAnsi="Cambria Math"/>
                      <w:bCs/>
                      <w:i/>
                      <w:iCs/>
                      <w:color w:val="000000"/>
                      <w:kern w:val="0"/>
                      <w:szCs w:val="21"/>
                    </w:rPr>
                  </m:ctrlPr>
                </m:sSubPr>
                <m:e>
                  <m:r>
                    <m:rPr>
                      <m:sty m:val="p"/>
                    </m:rPr>
                    <w:rPr>
                      <w:rFonts w:ascii="Cambria Math" w:hAnsi="Cambria Math"/>
                      <w:color w:val="000000"/>
                      <w:kern w:val="0"/>
                      <w:szCs w:val="21"/>
                    </w:rPr>
                    <m:t>测量值</m:t>
                  </m:r>
                  <m:r>
                    <m:rPr/>
                    <w:rPr>
                      <w:rFonts w:ascii="Cambria Math" w:hAnsi="Cambria Math"/>
                      <w:color w:val="000000"/>
                      <w:kern w:val="0"/>
                      <w:szCs w:val="21"/>
                    </w:rPr>
                    <m:t>D</m:t>
                  </m:r>
                  <m:ctrlPr>
                    <w:rPr>
                      <w:rFonts w:ascii="Cambria Math" w:hAnsi="Cambria Math"/>
                      <w:bCs/>
                      <w:i/>
                      <w:iCs/>
                      <w:color w:val="000000"/>
                      <w:kern w:val="0"/>
                      <w:szCs w:val="21"/>
                    </w:rPr>
                  </m:ctrlPr>
                </m:e>
                <m:sub>
                  <m:r>
                    <m:rPr/>
                    <w:rPr>
                      <w:rFonts w:ascii="Cambria Math" w:hAnsi="Cambria Math"/>
                      <w:color w:val="000000"/>
                      <w:kern w:val="0"/>
                      <w:szCs w:val="21"/>
                    </w:rPr>
                    <m:t>50</m:t>
                  </m:r>
                  <m:ctrlPr>
                    <w:rPr>
                      <w:rFonts w:ascii="Cambria Math" w:hAnsi="Cambria Math"/>
                      <w:bCs/>
                      <w:i/>
                      <w:iCs/>
                      <w:color w:val="000000"/>
                      <w:kern w:val="0"/>
                      <w:szCs w:val="21"/>
                    </w:rPr>
                  </m:ctrlPr>
                </m:sub>
              </m:sSub>
              <m:r>
                <m:rPr/>
                <w:rPr>
                  <w:rFonts w:ascii="Cambria Math" w:hAnsi="Cambria Math"/>
                  <w:color w:val="000000"/>
                  <w:kern w:val="0"/>
                  <w:szCs w:val="21"/>
                </w:rPr>
                <m:t xml:space="preserve"> </m:t>
              </m:r>
            </m:oMath>
            <w:r>
              <w:rPr>
                <w:bCs/>
                <w:color w:val="000000"/>
                <w:kern w:val="0"/>
                <w:szCs w:val="21"/>
              </w:rPr>
              <w:t xml:space="preserve">/ </w:t>
            </w:r>
            <w:r>
              <w:rPr>
                <w:rFonts w:hint="eastAsia"/>
                <w:bCs/>
                <w:color w:val="000000"/>
                <w:kern w:val="0"/>
                <w:szCs w:val="21"/>
              </w:rPr>
              <w:t>μm</w:t>
            </w:r>
          </w:p>
        </w:tc>
        <w:tc>
          <w:tcPr>
            <w:tcW w:w="721" w:type="pct"/>
            <w:vMerge w:val="restart"/>
            <w:vAlign w:val="center"/>
          </w:tcPr>
          <w:p w14:paraId="7F599F0C">
            <w:pPr>
              <w:jc w:val="center"/>
              <w:rPr>
                <w:bCs/>
                <w:color w:val="000000"/>
                <w:kern w:val="0"/>
                <w:szCs w:val="21"/>
              </w:rPr>
            </w:pPr>
            <w:r>
              <w:rPr>
                <w:rFonts w:hint="eastAsia"/>
                <w:bCs/>
                <w:iCs/>
                <w:color w:val="000000"/>
                <w:kern w:val="0"/>
                <w:szCs w:val="21"/>
              </w:rPr>
              <w:t>平均值</w:t>
            </w:r>
            <m:oMath>
              <m:bar>
                <m:barPr>
                  <m:pos m:val="top"/>
                  <m:ctrlPr>
                    <w:rPr>
                      <w:rFonts w:ascii="Cambria Math" w:hAnsi="Cambria Math"/>
                      <w:bCs/>
                      <w:i/>
                      <w:iCs/>
                      <w:color w:val="000000"/>
                      <w:kern w:val="0"/>
                      <w:szCs w:val="21"/>
                    </w:rPr>
                  </m:ctrlPr>
                </m:barPr>
                <m:e>
                  <m:sSub>
                    <m:sSubPr>
                      <m:ctrlPr>
                        <w:rPr>
                          <w:rFonts w:ascii="Cambria Math" w:hAnsi="Cambria Math"/>
                          <w:bCs/>
                          <w:i/>
                          <w:iCs/>
                          <w:color w:val="000000"/>
                          <w:kern w:val="0"/>
                          <w:szCs w:val="21"/>
                        </w:rPr>
                      </m:ctrlPr>
                    </m:sSubPr>
                    <m:e>
                      <m:r>
                        <m:rPr/>
                        <w:rPr>
                          <w:rFonts w:ascii="Cambria Math" w:hAnsi="Cambria Math"/>
                          <w:color w:val="000000"/>
                          <w:kern w:val="0"/>
                          <w:szCs w:val="21"/>
                        </w:rPr>
                        <m:t>D</m:t>
                      </m:r>
                      <m:ctrlPr>
                        <w:rPr>
                          <w:rFonts w:ascii="Cambria Math" w:hAnsi="Cambria Math"/>
                          <w:bCs/>
                          <w:i/>
                          <w:iCs/>
                          <w:color w:val="000000"/>
                          <w:kern w:val="0"/>
                          <w:szCs w:val="21"/>
                        </w:rPr>
                      </m:ctrlPr>
                    </m:e>
                    <m:sub>
                      <m:r>
                        <m:rPr/>
                        <w:rPr>
                          <w:rFonts w:ascii="Cambria Math" w:hAnsi="Cambria Math"/>
                          <w:color w:val="000000"/>
                          <w:kern w:val="0"/>
                          <w:szCs w:val="21"/>
                        </w:rPr>
                        <m:t>50</m:t>
                      </m:r>
                      <m:ctrlPr>
                        <w:rPr>
                          <w:rFonts w:ascii="Cambria Math" w:hAnsi="Cambria Math"/>
                          <w:bCs/>
                          <w:i/>
                          <w:iCs/>
                          <w:color w:val="000000"/>
                          <w:kern w:val="0"/>
                          <w:szCs w:val="21"/>
                        </w:rPr>
                      </m:ctrlPr>
                    </m:sub>
                  </m:sSub>
                  <m:r>
                    <m:rPr/>
                    <w:rPr>
                      <w:rFonts w:ascii="Cambria Math" w:hAnsi="Cambria Math"/>
                      <w:color w:val="000000"/>
                      <w:kern w:val="0"/>
                      <w:szCs w:val="21"/>
                    </w:rPr>
                    <m:t xml:space="preserve"> </m:t>
                  </m:r>
                  <m:ctrlPr>
                    <w:rPr>
                      <w:rFonts w:ascii="Cambria Math" w:hAnsi="Cambria Math"/>
                      <w:bCs/>
                      <w:i/>
                      <w:iCs/>
                      <w:color w:val="000000"/>
                      <w:kern w:val="0"/>
                      <w:szCs w:val="21"/>
                    </w:rPr>
                  </m:ctrlPr>
                </m:e>
              </m:bar>
            </m:oMath>
            <w:r>
              <w:rPr>
                <w:bCs/>
                <w:color w:val="000000"/>
                <w:kern w:val="0"/>
                <w:szCs w:val="21"/>
              </w:rPr>
              <w:t>/</w:t>
            </w:r>
            <w:r>
              <w:rPr>
                <w:rFonts w:hint="eastAsia"/>
                <w:bCs/>
                <w:color w:val="000000"/>
                <w:kern w:val="0"/>
                <w:szCs w:val="21"/>
              </w:rPr>
              <w:t>μm</w:t>
            </w:r>
          </w:p>
        </w:tc>
        <w:tc>
          <w:tcPr>
            <w:tcW w:w="776" w:type="pct"/>
            <w:vMerge w:val="restart"/>
            <w:vAlign w:val="center"/>
          </w:tcPr>
          <w:p w14:paraId="162FD3CF">
            <w:pPr>
              <w:jc w:val="center"/>
              <w:rPr>
                <w:bCs/>
                <w:color w:val="000000"/>
                <w:kern w:val="0"/>
                <w:szCs w:val="21"/>
              </w:rPr>
            </w:pPr>
            <m:oMathPara>
              <m:oMath>
                <m:r>
                  <m:rPr>
                    <m:sty m:val="p"/>
                  </m:rPr>
                  <w:rPr>
                    <w:rFonts w:ascii="Cambria Math" w:hAnsi="Cambria Math"/>
                    <w:color w:val="000000"/>
                    <w:kern w:val="0"/>
                    <w:szCs w:val="21"/>
                  </w:rPr>
                  <m:t>重复性/%</m:t>
                </m:r>
              </m:oMath>
            </m:oMathPara>
          </w:p>
        </w:tc>
      </w:tr>
      <w:tr w14:paraId="2536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8" w:type="pct"/>
            <w:vMerge w:val="continue"/>
            <w:vAlign w:val="center"/>
          </w:tcPr>
          <w:p w14:paraId="08DA50E1">
            <w:pPr>
              <w:jc w:val="center"/>
              <w:rPr>
                <w:bCs/>
                <w:color w:val="000000"/>
                <w:kern w:val="0"/>
                <w:szCs w:val="21"/>
              </w:rPr>
            </w:pPr>
          </w:p>
        </w:tc>
        <w:tc>
          <w:tcPr>
            <w:tcW w:w="454" w:type="pct"/>
            <w:vAlign w:val="center"/>
          </w:tcPr>
          <w:p w14:paraId="0C4226FF">
            <w:pPr>
              <w:jc w:val="center"/>
              <w:rPr>
                <w:bCs/>
                <w:color w:val="000000"/>
                <w:kern w:val="0"/>
                <w:szCs w:val="21"/>
              </w:rPr>
            </w:pPr>
            <w:r>
              <w:rPr>
                <w:bCs/>
                <w:color w:val="000000"/>
                <w:kern w:val="0"/>
                <w:szCs w:val="21"/>
              </w:rPr>
              <w:t>1</w:t>
            </w:r>
          </w:p>
        </w:tc>
        <w:tc>
          <w:tcPr>
            <w:tcW w:w="454" w:type="pct"/>
            <w:vAlign w:val="center"/>
          </w:tcPr>
          <w:p w14:paraId="2F36193B">
            <w:pPr>
              <w:jc w:val="center"/>
              <w:rPr>
                <w:bCs/>
                <w:color w:val="000000"/>
                <w:kern w:val="0"/>
                <w:szCs w:val="21"/>
              </w:rPr>
            </w:pPr>
            <w:r>
              <w:rPr>
                <w:bCs/>
                <w:color w:val="000000"/>
                <w:kern w:val="0"/>
                <w:szCs w:val="21"/>
              </w:rPr>
              <w:t>2</w:t>
            </w:r>
          </w:p>
        </w:tc>
        <w:tc>
          <w:tcPr>
            <w:tcW w:w="456" w:type="pct"/>
            <w:vAlign w:val="center"/>
          </w:tcPr>
          <w:p w14:paraId="1FC62BC9">
            <w:pPr>
              <w:jc w:val="center"/>
              <w:rPr>
                <w:bCs/>
                <w:color w:val="000000"/>
                <w:kern w:val="0"/>
                <w:szCs w:val="21"/>
              </w:rPr>
            </w:pPr>
            <w:r>
              <w:rPr>
                <w:bCs/>
                <w:color w:val="000000"/>
                <w:kern w:val="0"/>
                <w:szCs w:val="21"/>
              </w:rPr>
              <w:t>3</w:t>
            </w:r>
          </w:p>
        </w:tc>
        <w:tc>
          <w:tcPr>
            <w:tcW w:w="442" w:type="pct"/>
            <w:vAlign w:val="center"/>
          </w:tcPr>
          <w:p w14:paraId="7C4B89F1">
            <w:pPr>
              <w:jc w:val="center"/>
              <w:rPr>
                <w:bCs/>
                <w:color w:val="000000"/>
                <w:kern w:val="0"/>
                <w:szCs w:val="21"/>
              </w:rPr>
            </w:pPr>
            <w:r>
              <w:rPr>
                <w:rFonts w:hint="eastAsia"/>
                <w:bCs/>
                <w:color w:val="000000"/>
                <w:kern w:val="0"/>
                <w:szCs w:val="21"/>
              </w:rPr>
              <w:t>4</w:t>
            </w:r>
          </w:p>
        </w:tc>
        <w:tc>
          <w:tcPr>
            <w:tcW w:w="396" w:type="pct"/>
            <w:vAlign w:val="center"/>
          </w:tcPr>
          <w:p w14:paraId="169983B1">
            <w:pPr>
              <w:jc w:val="center"/>
              <w:rPr>
                <w:bCs/>
                <w:color w:val="000000"/>
                <w:kern w:val="0"/>
                <w:szCs w:val="21"/>
              </w:rPr>
            </w:pPr>
            <w:r>
              <w:rPr>
                <w:rFonts w:hint="eastAsia"/>
                <w:bCs/>
                <w:color w:val="000000"/>
                <w:kern w:val="0"/>
                <w:szCs w:val="21"/>
              </w:rPr>
              <w:t>5</w:t>
            </w:r>
          </w:p>
        </w:tc>
        <w:tc>
          <w:tcPr>
            <w:tcW w:w="433" w:type="pct"/>
            <w:vAlign w:val="center"/>
          </w:tcPr>
          <w:p w14:paraId="543552A9">
            <w:pPr>
              <w:jc w:val="center"/>
              <w:rPr>
                <w:bCs/>
                <w:color w:val="000000"/>
                <w:kern w:val="0"/>
                <w:szCs w:val="21"/>
              </w:rPr>
            </w:pPr>
            <w:r>
              <w:rPr>
                <w:rFonts w:hint="eastAsia"/>
                <w:bCs/>
                <w:color w:val="000000"/>
                <w:kern w:val="0"/>
                <w:szCs w:val="21"/>
              </w:rPr>
              <w:t>6</w:t>
            </w:r>
          </w:p>
        </w:tc>
        <w:tc>
          <w:tcPr>
            <w:tcW w:w="721" w:type="pct"/>
            <w:vMerge w:val="continue"/>
            <w:vAlign w:val="center"/>
          </w:tcPr>
          <w:p w14:paraId="20661768">
            <w:pPr>
              <w:jc w:val="center"/>
              <w:rPr>
                <w:bCs/>
                <w:color w:val="000000"/>
                <w:kern w:val="0"/>
                <w:szCs w:val="21"/>
              </w:rPr>
            </w:pPr>
          </w:p>
        </w:tc>
        <w:tc>
          <w:tcPr>
            <w:tcW w:w="776" w:type="pct"/>
            <w:vMerge w:val="continue"/>
            <w:vAlign w:val="center"/>
          </w:tcPr>
          <w:p w14:paraId="1332B373">
            <w:pPr>
              <w:jc w:val="center"/>
              <w:rPr>
                <w:bCs/>
                <w:color w:val="000000"/>
                <w:kern w:val="0"/>
                <w:szCs w:val="21"/>
              </w:rPr>
            </w:pPr>
          </w:p>
        </w:tc>
      </w:tr>
      <w:tr w14:paraId="4C55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8" w:type="pct"/>
            <w:vAlign w:val="center"/>
          </w:tcPr>
          <w:p w14:paraId="774FF276">
            <w:pPr>
              <w:jc w:val="center"/>
              <w:rPr>
                <w:bCs/>
                <w:color w:val="000000"/>
                <w:kern w:val="0"/>
                <w:szCs w:val="21"/>
              </w:rPr>
            </w:pPr>
          </w:p>
        </w:tc>
        <w:tc>
          <w:tcPr>
            <w:tcW w:w="454" w:type="pct"/>
            <w:vAlign w:val="center"/>
          </w:tcPr>
          <w:p w14:paraId="06E2C0D0">
            <w:pPr>
              <w:jc w:val="center"/>
              <w:rPr>
                <w:bCs/>
                <w:color w:val="000000"/>
                <w:kern w:val="0"/>
                <w:szCs w:val="21"/>
              </w:rPr>
            </w:pPr>
          </w:p>
        </w:tc>
        <w:tc>
          <w:tcPr>
            <w:tcW w:w="454" w:type="pct"/>
            <w:vAlign w:val="center"/>
          </w:tcPr>
          <w:p w14:paraId="4DBF12C5">
            <w:pPr>
              <w:jc w:val="center"/>
              <w:rPr>
                <w:bCs/>
                <w:color w:val="000000"/>
                <w:kern w:val="0"/>
                <w:szCs w:val="21"/>
              </w:rPr>
            </w:pPr>
          </w:p>
        </w:tc>
        <w:tc>
          <w:tcPr>
            <w:tcW w:w="456" w:type="pct"/>
            <w:vAlign w:val="center"/>
          </w:tcPr>
          <w:p w14:paraId="53F3D563">
            <w:pPr>
              <w:jc w:val="center"/>
              <w:rPr>
                <w:bCs/>
                <w:color w:val="000000"/>
                <w:kern w:val="0"/>
                <w:szCs w:val="21"/>
              </w:rPr>
            </w:pPr>
          </w:p>
        </w:tc>
        <w:tc>
          <w:tcPr>
            <w:tcW w:w="442" w:type="pct"/>
            <w:vAlign w:val="center"/>
          </w:tcPr>
          <w:p w14:paraId="4522F24B">
            <w:pPr>
              <w:jc w:val="center"/>
              <w:rPr>
                <w:bCs/>
                <w:color w:val="000000"/>
                <w:kern w:val="0"/>
                <w:szCs w:val="21"/>
              </w:rPr>
            </w:pPr>
          </w:p>
        </w:tc>
        <w:tc>
          <w:tcPr>
            <w:tcW w:w="396" w:type="pct"/>
            <w:vAlign w:val="center"/>
          </w:tcPr>
          <w:p w14:paraId="5A00F7D0">
            <w:pPr>
              <w:jc w:val="center"/>
              <w:rPr>
                <w:bCs/>
                <w:color w:val="000000"/>
                <w:kern w:val="0"/>
                <w:szCs w:val="21"/>
              </w:rPr>
            </w:pPr>
          </w:p>
        </w:tc>
        <w:tc>
          <w:tcPr>
            <w:tcW w:w="433" w:type="pct"/>
            <w:vAlign w:val="center"/>
          </w:tcPr>
          <w:p w14:paraId="72113E12">
            <w:pPr>
              <w:jc w:val="center"/>
              <w:rPr>
                <w:bCs/>
                <w:color w:val="000000"/>
                <w:kern w:val="0"/>
                <w:szCs w:val="21"/>
              </w:rPr>
            </w:pPr>
          </w:p>
        </w:tc>
        <w:tc>
          <w:tcPr>
            <w:tcW w:w="721" w:type="pct"/>
            <w:vAlign w:val="center"/>
          </w:tcPr>
          <w:p w14:paraId="705C9A12">
            <w:pPr>
              <w:jc w:val="center"/>
              <w:rPr>
                <w:bCs/>
                <w:color w:val="000000"/>
                <w:kern w:val="0"/>
                <w:szCs w:val="21"/>
              </w:rPr>
            </w:pPr>
          </w:p>
        </w:tc>
        <w:tc>
          <w:tcPr>
            <w:tcW w:w="776" w:type="pct"/>
            <w:vAlign w:val="center"/>
          </w:tcPr>
          <w:p w14:paraId="48B704A1">
            <w:pPr>
              <w:jc w:val="center"/>
              <w:rPr>
                <w:bCs/>
                <w:color w:val="000000"/>
                <w:kern w:val="0"/>
                <w:szCs w:val="21"/>
              </w:rPr>
            </w:pPr>
          </w:p>
        </w:tc>
      </w:tr>
    </w:tbl>
    <w:p w14:paraId="7FF18A3F">
      <w:pPr>
        <w:tabs>
          <w:tab w:val="left" w:pos="480"/>
        </w:tabs>
        <w:spacing w:line="400" w:lineRule="exact"/>
        <w:rPr>
          <w:rFonts w:eastAsia="黑体"/>
          <w:color w:val="000000"/>
          <w:sz w:val="24"/>
        </w:rPr>
      </w:pPr>
      <w:r>
        <w:rPr>
          <w:rFonts w:hint="eastAsia" w:eastAsia="黑体"/>
          <w:color w:val="000000"/>
          <w:sz w:val="24"/>
        </w:rPr>
        <w:t>四、分辨力</w:t>
      </w:r>
    </w:p>
    <w:tbl>
      <w:tblPr>
        <w:tblStyle w:val="88"/>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856"/>
        <w:gridCol w:w="1302"/>
        <w:gridCol w:w="3470"/>
        <w:gridCol w:w="2618"/>
      </w:tblGrid>
      <w:tr w14:paraId="50BB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exact"/>
          <w:jc w:val="center"/>
        </w:trPr>
        <w:tc>
          <w:tcPr>
            <w:tcW w:w="1671" w:type="dxa"/>
            <w:gridSpan w:val="2"/>
            <w:vAlign w:val="center"/>
          </w:tcPr>
          <w:p w14:paraId="46646667">
            <w:pPr>
              <w:jc w:val="center"/>
              <w:rPr>
                <w:bCs/>
                <w:color w:val="000000"/>
                <w:kern w:val="0"/>
                <w:szCs w:val="21"/>
              </w:rPr>
            </w:pPr>
            <m:oMath>
              <m:sSub>
                <m:sSubPr>
                  <m:ctrlPr>
                    <w:rPr>
                      <w:rFonts w:ascii="Cambria Math" w:hAnsi="Cambria Math"/>
                      <w:bCs/>
                      <w:i/>
                      <w:sz w:val="24"/>
                    </w:rPr>
                  </m:ctrlPr>
                </m:sSubPr>
                <m:e>
                  <m:r>
                    <m:rPr>
                      <m:sty m:val="p"/>
                    </m:rPr>
                    <w:rPr>
                      <w:rFonts w:ascii="Cambria Math" w:hAnsi="Cambria Math"/>
                      <w:sz w:val="24"/>
                    </w:rPr>
                    <m:t>标准值</m:t>
                  </m:r>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r>
                <m:rPr/>
                <w:rPr>
                  <w:rFonts w:ascii="Cambria Math" w:hAnsi="Cambria Math"/>
                  <w:sz w:val="24"/>
                </w:rPr>
                <m:t xml:space="preserve"> </m:t>
              </m:r>
            </m:oMath>
            <w:r>
              <w:rPr>
                <w:rFonts w:hint="eastAsia"/>
                <w:bCs/>
                <w:sz w:val="24"/>
              </w:rPr>
              <w:t xml:space="preserve"> </w:t>
            </w:r>
            <w:r>
              <w:rPr>
                <w:bCs/>
                <w:color w:val="000000"/>
                <w:kern w:val="0"/>
                <w:szCs w:val="21"/>
              </w:rPr>
              <w:t xml:space="preserve">/ </w:t>
            </w:r>
            <w:r>
              <w:rPr>
                <w:rFonts w:hint="eastAsia"/>
                <w:bCs/>
                <w:color w:val="000000"/>
                <w:kern w:val="0"/>
                <w:szCs w:val="21"/>
              </w:rPr>
              <w:t>μm</w:t>
            </w:r>
          </w:p>
        </w:tc>
        <w:tc>
          <w:tcPr>
            <w:tcW w:w="1302" w:type="dxa"/>
            <w:vAlign w:val="center"/>
          </w:tcPr>
          <w:p w14:paraId="2D788680">
            <w:pPr>
              <w:jc w:val="center"/>
              <w:rPr>
                <w:bCs/>
                <w:color w:val="000000"/>
                <w:kern w:val="0"/>
                <w:szCs w:val="21"/>
              </w:rPr>
            </w:pPr>
            <w:r>
              <w:rPr>
                <w:rFonts w:hint="eastAsia"/>
                <w:bCs/>
                <w:color w:val="000000"/>
                <w:kern w:val="0"/>
                <w:szCs w:val="21"/>
              </w:rPr>
              <w:t>质量浓度比</w:t>
            </w:r>
          </w:p>
        </w:tc>
        <w:tc>
          <w:tcPr>
            <w:tcW w:w="3470" w:type="dxa"/>
            <w:vAlign w:val="center"/>
          </w:tcPr>
          <w:p w14:paraId="22DC61D8">
            <w:pPr>
              <w:jc w:val="center"/>
              <w:rPr>
                <w:bCs/>
                <w:color w:val="000000"/>
                <w:kern w:val="0"/>
                <w:szCs w:val="21"/>
              </w:rPr>
            </w:pPr>
            <w:r>
              <w:rPr>
                <w:rFonts w:hint="eastAsia" w:ascii="宋体" w:hAnsi="宋体" w:cs="宋体"/>
                <w:sz w:val="24"/>
              </w:rPr>
              <w:t>能发观察出两个独立的波形</w:t>
            </w:r>
          </w:p>
        </w:tc>
        <w:tc>
          <w:tcPr>
            <w:tcW w:w="2618" w:type="dxa"/>
            <w:vAlign w:val="center"/>
          </w:tcPr>
          <w:p w14:paraId="59C48DF5">
            <w:pPr>
              <w:ind w:firstLine="315" w:firstLineChars="150"/>
              <w:jc w:val="left"/>
              <w:rPr>
                <w:bCs/>
                <w:color w:val="000000"/>
                <w:kern w:val="0"/>
                <w:szCs w:val="21"/>
              </w:rPr>
            </w:pPr>
            <w:r>
              <w:rPr>
                <w:rFonts w:hint="eastAsia"/>
                <w:bCs/>
                <w:color w:val="000000"/>
                <w:kern w:val="0"/>
                <w:szCs w:val="21"/>
              </w:rPr>
              <w:t>分辨力等级</w:t>
            </w:r>
          </w:p>
        </w:tc>
      </w:tr>
      <w:tr w14:paraId="02A8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5" w:type="dxa"/>
            <w:vAlign w:val="center"/>
          </w:tcPr>
          <w:p w14:paraId="5D27700D">
            <w:pPr>
              <w:jc w:val="center"/>
              <w:rPr>
                <w:bCs/>
                <w:color w:val="000000"/>
                <w:kern w:val="0"/>
                <w:szCs w:val="21"/>
              </w:rPr>
            </w:pPr>
          </w:p>
        </w:tc>
        <w:tc>
          <w:tcPr>
            <w:tcW w:w="856" w:type="dxa"/>
            <w:vAlign w:val="center"/>
          </w:tcPr>
          <w:p w14:paraId="6E076830">
            <w:pPr>
              <w:jc w:val="center"/>
              <w:rPr>
                <w:bCs/>
                <w:color w:val="000000"/>
                <w:kern w:val="0"/>
                <w:szCs w:val="21"/>
              </w:rPr>
            </w:pPr>
          </w:p>
        </w:tc>
        <w:tc>
          <w:tcPr>
            <w:tcW w:w="1302" w:type="dxa"/>
            <w:vAlign w:val="center"/>
          </w:tcPr>
          <w:p w14:paraId="5149CABC">
            <w:pPr>
              <w:jc w:val="center"/>
              <w:rPr>
                <w:bCs/>
                <w:color w:val="000000"/>
                <w:kern w:val="0"/>
                <w:szCs w:val="21"/>
              </w:rPr>
            </w:pPr>
          </w:p>
        </w:tc>
        <w:tc>
          <w:tcPr>
            <w:tcW w:w="3470" w:type="dxa"/>
            <w:vAlign w:val="center"/>
          </w:tcPr>
          <w:p w14:paraId="5FBC75D8">
            <w:pPr>
              <w:ind w:firstLine="945" w:firstLineChars="450"/>
              <w:jc w:val="left"/>
              <w:rPr>
                <w:rFonts w:ascii="宋体" w:hAnsi="宋体" w:cs="宋体"/>
                <w:sz w:val="24"/>
              </w:rPr>
            </w:pPr>
            <w:r>
              <w:rPr>
                <w:rFonts w:hint="eastAsia" w:ascii="MS Mincho" w:hAnsi="MS Mincho" w:eastAsia="MS Mincho" w:cs="MS Mincho"/>
                <w:szCs w:val="21"/>
              </w:rPr>
              <w:t>☑</w:t>
            </w:r>
            <w:r>
              <w:rPr>
                <w:rFonts w:ascii="宋体" w:hAnsi="宋体"/>
                <w:szCs w:val="21"/>
              </w:rPr>
              <w:t xml:space="preserve"> </w:t>
            </w:r>
            <w:r>
              <w:rPr>
                <w:rFonts w:hint="eastAsia" w:ascii="宋体" w:hAnsi="宋体"/>
                <w:color w:val="000000"/>
                <w:szCs w:val="21"/>
              </w:rPr>
              <w:t xml:space="preserve">能 </w:t>
            </w:r>
            <w:r>
              <w:rPr>
                <w:rFonts w:ascii="宋体" w:hAnsi="宋体"/>
                <w:szCs w:val="21"/>
              </w:rPr>
              <w:t>□</w:t>
            </w:r>
            <w:r>
              <w:rPr>
                <w:rFonts w:hint="eastAsia" w:ascii="宋体" w:hAnsi="宋体"/>
                <w:color w:val="000000"/>
                <w:szCs w:val="21"/>
              </w:rPr>
              <w:t>不能</w:t>
            </w:r>
          </w:p>
          <w:p w14:paraId="58081FE9">
            <w:pPr>
              <w:jc w:val="center"/>
              <w:rPr>
                <w:bCs/>
                <w:color w:val="000000"/>
                <w:kern w:val="0"/>
                <w:szCs w:val="21"/>
              </w:rPr>
            </w:pPr>
          </w:p>
        </w:tc>
        <w:tc>
          <w:tcPr>
            <w:tcW w:w="2618" w:type="dxa"/>
            <w:vAlign w:val="center"/>
          </w:tcPr>
          <w:p w14:paraId="0EA720E5">
            <w:pPr>
              <w:jc w:val="center"/>
              <w:rPr>
                <w:bCs/>
                <w:color w:val="000000"/>
                <w:kern w:val="0"/>
                <w:szCs w:val="21"/>
              </w:rPr>
            </w:pPr>
            <w:r>
              <w:rPr>
                <w:rFonts w:hint="eastAsia" w:ascii="MS Mincho" w:hAnsi="MS Mincho" w:eastAsia="MS Mincho" w:cs="MS Mincho"/>
                <w:szCs w:val="21"/>
              </w:rPr>
              <w:t>☑</w:t>
            </w:r>
            <w:r>
              <w:rPr>
                <w:rFonts w:ascii="宋体" w:hAnsi="宋体"/>
                <w:szCs w:val="21"/>
              </w:rPr>
              <w:t xml:space="preserve"> </w:t>
            </w:r>
            <w:r>
              <w:rPr>
                <w:rFonts w:hint="eastAsia"/>
                <w:bCs/>
                <w:color w:val="000000"/>
                <w:kern w:val="0"/>
                <w:szCs w:val="21"/>
              </w:rPr>
              <w:t xml:space="preserve">A级 </w:t>
            </w:r>
            <w:r>
              <w:rPr>
                <w:rFonts w:ascii="宋体" w:hAnsi="宋体"/>
                <w:szCs w:val="21"/>
              </w:rPr>
              <w:t>□</w:t>
            </w:r>
            <w:r>
              <w:rPr>
                <w:rFonts w:hint="eastAsia"/>
                <w:bCs/>
                <w:color w:val="000000"/>
                <w:kern w:val="0"/>
                <w:szCs w:val="21"/>
              </w:rPr>
              <w:t>B级</w:t>
            </w:r>
          </w:p>
        </w:tc>
      </w:tr>
    </w:tbl>
    <w:p w14:paraId="41F4FD01">
      <w:pPr>
        <w:pStyle w:val="4"/>
        <w:pageBreakBefore/>
        <w:rPr>
          <w:rFonts w:ascii="Times New Roman" w:hAnsi="Times New Roman" w:eastAsia="黑体"/>
          <w:b w:val="0"/>
          <w:color w:val="000000"/>
          <w:sz w:val="28"/>
          <w:szCs w:val="28"/>
          <w:lang w:val="zh-CN"/>
        </w:rPr>
      </w:pPr>
      <w:r>
        <w:rPr>
          <w:rFonts w:ascii="Times New Roman" w:hAnsi="Times New Roman" w:eastAsia="黑体"/>
          <w:b w:val="0"/>
          <w:color w:val="000000"/>
          <w:sz w:val="28"/>
          <w:szCs w:val="28"/>
          <w:lang w:val="zh-CN"/>
        </w:rPr>
        <w:t>附录B</w:t>
      </w:r>
    </w:p>
    <w:p w14:paraId="7AE2606C">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校准证书（内页）格式</w:t>
      </w:r>
    </w:p>
    <w:p w14:paraId="5E3AC0E9">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tbl>
      <w:tblPr>
        <w:tblStyle w:val="8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9"/>
        <w:gridCol w:w="5243"/>
      </w:tblGrid>
      <w:tr w14:paraId="0C6B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338B3E18">
            <w:pPr>
              <w:autoSpaceDE w:val="0"/>
              <w:autoSpaceDN w:val="0"/>
              <w:adjustRightInd w:val="0"/>
              <w:spacing w:line="360" w:lineRule="auto"/>
              <w:jc w:val="center"/>
              <w:rPr>
                <w:sz w:val="28"/>
                <w:szCs w:val="28"/>
              </w:rPr>
            </w:pPr>
            <w:r>
              <w:rPr>
                <w:sz w:val="28"/>
                <w:szCs w:val="28"/>
              </w:rPr>
              <w:t>校准项目</w:t>
            </w:r>
          </w:p>
        </w:tc>
        <w:tc>
          <w:tcPr>
            <w:tcW w:w="5243" w:type="dxa"/>
            <w:vAlign w:val="center"/>
          </w:tcPr>
          <w:p w14:paraId="2CBC9663">
            <w:pPr>
              <w:spacing w:line="350" w:lineRule="exact"/>
              <w:jc w:val="center"/>
              <w:rPr>
                <w:sz w:val="28"/>
                <w:szCs w:val="28"/>
              </w:rPr>
            </w:pPr>
            <w:r>
              <w:rPr>
                <w:sz w:val="28"/>
                <w:szCs w:val="28"/>
                <w:lang w:val="zh-CN"/>
              </w:rPr>
              <w:t>校准结果</w:t>
            </w:r>
          </w:p>
        </w:tc>
      </w:tr>
      <w:tr w14:paraId="7EEA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5283B44B">
            <w:pPr>
              <w:autoSpaceDE w:val="0"/>
              <w:autoSpaceDN w:val="0"/>
              <w:adjustRightInd w:val="0"/>
              <w:spacing w:line="360" w:lineRule="auto"/>
              <w:jc w:val="center"/>
              <w:rPr>
                <w:sz w:val="28"/>
                <w:szCs w:val="28"/>
              </w:rPr>
            </w:pPr>
            <w:r>
              <w:rPr>
                <w:sz w:val="28"/>
                <w:szCs w:val="28"/>
              </w:rPr>
              <w:t>外观及功能检查</w:t>
            </w:r>
          </w:p>
        </w:tc>
        <w:tc>
          <w:tcPr>
            <w:tcW w:w="5243" w:type="dxa"/>
            <w:vAlign w:val="center"/>
          </w:tcPr>
          <w:p w14:paraId="363CBCE8">
            <w:pPr>
              <w:spacing w:line="350" w:lineRule="exact"/>
              <w:jc w:val="center"/>
              <w:rPr>
                <w:rFonts w:ascii="宋体" w:hAnsi="宋体"/>
                <w:sz w:val="28"/>
                <w:szCs w:val="28"/>
              </w:rPr>
            </w:pPr>
          </w:p>
        </w:tc>
      </w:tr>
      <w:tr w14:paraId="54A8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0E598848">
            <w:pPr>
              <w:spacing w:line="320" w:lineRule="exact"/>
              <w:jc w:val="center"/>
              <w:rPr>
                <w:bCs/>
                <w:sz w:val="28"/>
                <w:szCs w:val="28"/>
              </w:rPr>
            </w:pPr>
            <w:r>
              <w:rPr>
                <w:rFonts w:hint="eastAsia"/>
                <w:bCs/>
                <w:sz w:val="28"/>
                <w:szCs w:val="28"/>
              </w:rPr>
              <w:t>示值误差</w:t>
            </w:r>
          </w:p>
        </w:tc>
        <w:tc>
          <w:tcPr>
            <w:tcW w:w="5243" w:type="dxa"/>
            <w:vAlign w:val="center"/>
          </w:tcPr>
          <w:p w14:paraId="7C29DA2F">
            <w:pPr>
              <w:spacing w:line="350" w:lineRule="exact"/>
              <w:jc w:val="center"/>
              <w:rPr>
                <w:sz w:val="28"/>
                <w:szCs w:val="28"/>
              </w:rPr>
            </w:pPr>
          </w:p>
        </w:tc>
      </w:tr>
      <w:tr w14:paraId="3E4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4C3F2BFF">
            <w:pPr>
              <w:autoSpaceDE w:val="0"/>
              <w:autoSpaceDN w:val="0"/>
              <w:adjustRightInd w:val="0"/>
              <w:spacing w:line="360" w:lineRule="auto"/>
              <w:jc w:val="center"/>
              <w:rPr>
                <w:sz w:val="28"/>
                <w:szCs w:val="28"/>
              </w:rPr>
            </w:pPr>
            <w:r>
              <w:rPr>
                <w:rFonts w:hint="eastAsia"/>
                <w:bCs/>
                <w:sz w:val="28"/>
                <w:szCs w:val="28"/>
              </w:rPr>
              <w:t>重复性</w:t>
            </w:r>
          </w:p>
        </w:tc>
        <w:tc>
          <w:tcPr>
            <w:tcW w:w="5243" w:type="dxa"/>
            <w:vAlign w:val="center"/>
          </w:tcPr>
          <w:p w14:paraId="5E6F33CC">
            <w:pPr>
              <w:spacing w:line="350" w:lineRule="exact"/>
              <w:jc w:val="center"/>
              <w:rPr>
                <w:sz w:val="28"/>
                <w:szCs w:val="28"/>
              </w:rPr>
            </w:pPr>
          </w:p>
        </w:tc>
      </w:tr>
      <w:tr w14:paraId="3950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829" w:type="dxa"/>
            <w:vAlign w:val="center"/>
          </w:tcPr>
          <w:p w14:paraId="63B0D128">
            <w:pPr>
              <w:autoSpaceDE w:val="0"/>
              <w:autoSpaceDN w:val="0"/>
              <w:adjustRightInd w:val="0"/>
              <w:spacing w:line="360" w:lineRule="auto"/>
              <w:jc w:val="center"/>
              <w:rPr>
                <w:bCs/>
                <w:sz w:val="28"/>
                <w:szCs w:val="28"/>
              </w:rPr>
            </w:pPr>
            <w:r>
              <w:rPr>
                <w:rFonts w:hint="eastAsia"/>
                <w:bCs/>
                <w:sz w:val="28"/>
                <w:szCs w:val="28"/>
              </w:rPr>
              <w:t>分辨力</w:t>
            </w:r>
          </w:p>
        </w:tc>
        <w:tc>
          <w:tcPr>
            <w:tcW w:w="5243" w:type="dxa"/>
            <w:vAlign w:val="center"/>
          </w:tcPr>
          <w:p w14:paraId="73B7CEF4">
            <w:pPr>
              <w:spacing w:line="350" w:lineRule="exact"/>
              <w:jc w:val="center"/>
              <w:rPr>
                <w:sz w:val="28"/>
                <w:szCs w:val="28"/>
              </w:rPr>
            </w:pPr>
          </w:p>
        </w:tc>
      </w:tr>
    </w:tbl>
    <w:p w14:paraId="08EC131C">
      <w:pPr>
        <w:tabs>
          <w:tab w:val="right" w:pos="9360"/>
          <w:tab w:val="right" w:pos="9450"/>
          <w:tab w:val="right" w:leader="dot" w:pos="11340"/>
          <w:tab w:val="right" w:pos="14742"/>
        </w:tabs>
        <w:autoSpaceDE w:val="0"/>
        <w:autoSpaceDN w:val="0"/>
        <w:adjustRightInd w:val="0"/>
        <w:spacing w:line="360" w:lineRule="auto"/>
        <w:rPr>
          <w:sz w:val="24"/>
          <w:lang w:val="zh-CN"/>
        </w:rPr>
      </w:pPr>
    </w:p>
    <w:p w14:paraId="08DC3BB0">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r>
        <w:rPr>
          <w:sz w:val="24"/>
          <w:lang w:val="zh-CN"/>
        </w:rPr>
        <w:t>校准员：</w:t>
      </w:r>
      <w:r>
        <w:rPr>
          <w:sz w:val="24"/>
          <w:u w:val="single"/>
        </w:rPr>
        <w:t xml:space="preserve">                       </w:t>
      </w:r>
      <w:r>
        <w:rPr>
          <w:sz w:val="24"/>
          <w:lang w:val="zh-CN"/>
        </w:rPr>
        <w:t>核验员</w:t>
      </w:r>
      <w:r>
        <w:rPr>
          <w:color w:val="000000"/>
          <w:sz w:val="24"/>
        </w:rPr>
        <w:t>：</w:t>
      </w:r>
      <w:r>
        <w:rPr>
          <w:color w:val="000000"/>
          <w:sz w:val="24"/>
          <w:u w:val="single"/>
        </w:rPr>
        <w:t xml:space="preserve">                     </w:t>
      </w:r>
    </w:p>
    <w:p w14:paraId="72444458">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69A9AE34">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56714E01">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5523FB94">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3064BC4B">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292949D2">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62B2A591">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7E4F5BBC">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496DFA43">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430920A8">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1B0988BC">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69313DFD">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5A2AC88B">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008DE6D3">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4A10ABF1">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2CAC6DB3">
      <w:pPr>
        <w:tabs>
          <w:tab w:val="right" w:pos="9360"/>
          <w:tab w:val="right" w:pos="9450"/>
          <w:tab w:val="right" w:leader="dot" w:pos="11340"/>
          <w:tab w:val="right" w:pos="14742"/>
        </w:tabs>
        <w:autoSpaceDE w:val="0"/>
        <w:autoSpaceDN w:val="0"/>
        <w:adjustRightInd w:val="0"/>
        <w:spacing w:line="360" w:lineRule="auto"/>
        <w:ind w:firstLine="960" w:firstLineChars="400"/>
        <w:rPr>
          <w:sz w:val="24"/>
          <w:lang w:val="zh-CN"/>
        </w:rPr>
      </w:pPr>
    </w:p>
    <w:p w14:paraId="3F1D90F4">
      <w:pPr>
        <w:pStyle w:val="4"/>
        <w:rPr>
          <w:rFonts w:ascii="Times New Roman" w:hAnsi="Times New Roman"/>
          <w:sz w:val="28"/>
          <w:szCs w:val="28"/>
          <w:lang w:val="zh-CN"/>
        </w:rPr>
      </w:pPr>
      <w:r>
        <w:rPr>
          <w:rFonts w:ascii="Times New Roman" w:hAnsi="Times New Roman" w:eastAsia="黑体"/>
          <w:b w:val="0"/>
          <w:sz w:val="28"/>
          <w:szCs w:val="28"/>
          <w:lang w:val="zh-CN"/>
        </w:rPr>
        <w:t>附录</w:t>
      </w:r>
      <w:r>
        <w:rPr>
          <w:rFonts w:ascii="Times New Roman" w:hAnsi="Times New Roman"/>
          <w:b w:val="0"/>
          <w:sz w:val="28"/>
          <w:szCs w:val="28"/>
          <w:lang w:val="zh-CN"/>
        </w:rPr>
        <w:t>C</w:t>
      </w:r>
    </w:p>
    <w:p w14:paraId="4734E6BD">
      <w:pPr>
        <w:pStyle w:val="3"/>
        <w:spacing w:line="360" w:lineRule="auto"/>
        <w:ind w:firstLine="1960"/>
        <w:rPr>
          <w:rFonts w:ascii="黑体" w:eastAsia="黑体" w:cs="宋体"/>
          <w:b w:val="0"/>
          <w:bCs w:val="0"/>
          <w:sz w:val="28"/>
          <w:szCs w:val="28"/>
          <w:lang w:val="zh-CN"/>
        </w:rPr>
      </w:pPr>
      <w:r>
        <w:rPr>
          <w:rFonts w:hint="eastAsia" w:ascii="黑体" w:eastAsia="黑体" w:cs="宋体"/>
          <w:b w:val="0"/>
          <w:bCs w:val="0"/>
          <w:sz w:val="28"/>
          <w:szCs w:val="28"/>
        </w:rPr>
        <w:t>干法进样激光粒度分析仪校准规范示值误</w:t>
      </w:r>
      <w:r>
        <w:rPr>
          <w:rFonts w:hint="eastAsia" w:ascii="黑体" w:eastAsia="黑体" w:cs="宋体"/>
          <w:b w:val="0"/>
          <w:bCs w:val="0"/>
          <w:sz w:val="28"/>
          <w:szCs w:val="28"/>
          <w:lang w:val="zh-CN"/>
        </w:rPr>
        <w:t>差测量不确定度评定示例</w:t>
      </w:r>
    </w:p>
    <w:p w14:paraId="6DF4BCBB">
      <w:pPr>
        <w:spacing w:line="360" w:lineRule="auto"/>
        <w:jc w:val="left"/>
        <w:rPr>
          <w:rFonts w:eastAsia="黑体"/>
          <w:sz w:val="24"/>
        </w:rPr>
      </w:pPr>
      <w:r>
        <w:rPr>
          <w:rFonts w:eastAsia="黑体"/>
          <w:sz w:val="24"/>
        </w:rPr>
        <w:t xml:space="preserve">C.1  </w:t>
      </w:r>
      <w:r>
        <w:rPr>
          <w:rFonts w:hint="eastAsia" w:eastAsia="黑体"/>
          <w:sz w:val="24"/>
        </w:rPr>
        <w:t>示值误差</w:t>
      </w:r>
      <w:r>
        <w:rPr>
          <w:rFonts w:eastAsia="黑体"/>
          <w:sz w:val="24"/>
        </w:rPr>
        <w:t>测量不确定度评定</w:t>
      </w:r>
    </w:p>
    <w:p w14:paraId="1B0BADEA">
      <w:pPr>
        <w:spacing w:line="360" w:lineRule="auto"/>
        <w:jc w:val="left"/>
        <w:rPr>
          <w:rFonts w:eastAsia="黑体"/>
          <w:sz w:val="24"/>
        </w:rPr>
      </w:pPr>
      <w:r>
        <w:rPr>
          <w:rFonts w:eastAsia="黑体"/>
          <w:sz w:val="24"/>
        </w:rPr>
        <w:t xml:space="preserve">C.1.1 </w:t>
      </w:r>
      <w:r>
        <w:rPr>
          <w:rFonts w:eastAsia="黑体"/>
          <w:b/>
          <w:sz w:val="24"/>
        </w:rPr>
        <w:t xml:space="preserve"> 测量方法</w:t>
      </w:r>
    </w:p>
    <w:p w14:paraId="78F4D7C2">
      <w:pPr>
        <w:autoSpaceDE w:val="0"/>
        <w:autoSpaceDN w:val="0"/>
        <w:adjustRightInd w:val="0"/>
        <w:jc w:val="left"/>
        <w:rPr>
          <w:rFonts w:hint="eastAsia" w:ascii="宋体" w:hAnsi="Calibri" w:cs="宋体"/>
          <w:kern w:val="0"/>
          <w:sz w:val="24"/>
        </w:rPr>
      </w:pPr>
      <w:r>
        <w:rPr>
          <w:rFonts w:ascii="Calibri" w:hAnsi="Calibri" w:cs="Calibri" w:eastAsiaTheme="minorEastAsia"/>
          <w:kern w:val="0"/>
          <w:sz w:val="24"/>
        </w:rPr>
        <w:t xml:space="preserve">C.1.1 </w:t>
      </w:r>
      <w:r>
        <w:rPr>
          <w:rFonts w:hint="eastAsia" w:ascii="宋体" w:hAnsi="Calibri" w:cs="宋体"/>
          <w:kern w:val="0"/>
          <w:sz w:val="24"/>
        </w:rPr>
        <w:t>测量标准：粒度标准物质</w:t>
      </w:r>
    </w:p>
    <w:tbl>
      <w:tblPr>
        <w:tblStyle w:val="88"/>
        <w:tblpPr w:leftFromText="180" w:rightFromText="180" w:vertAnchor="text" w:horzAnchor="margin" w:tblpXSpec="center" w:tblpY="261"/>
        <w:tblW w:w="86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977"/>
        <w:gridCol w:w="2081"/>
        <w:gridCol w:w="2107"/>
      </w:tblGrid>
      <w:tr w14:paraId="3B12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526" w:type="dxa"/>
            <w:vAlign w:val="center"/>
          </w:tcPr>
          <w:p w14:paraId="3EF94624">
            <w:pPr>
              <w:jc w:val="center"/>
              <w:rPr>
                <w:color w:val="000000"/>
                <w:szCs w:val="21"/>
              </w:rPr>
            </w:pPr>
            <w:r>
              <w:rPr>
                <w:rFonts w:hint="eastAsia"/>
                <w:color w:val="000000"/>
                <w:szCs w:val="21"/>
              </w:rPr>
              <w:t>标物编号</w:t>
            </w:r>
          </w:p>
        </w:tc>
        <w:tc>
          <w:tcPr>
            <w:tcW w:w="2977" w:type="dxa"/>
          </w:tcPr>
          <w:p w14:paraId="716E3AF8">
            <w:pPr>
              <w:jc w:val="center"/>
              <w:rPr>
                <w:b/>
                <w:bCs/>
                <w:sz w:val="24"/>
              </w:rPr>
            </w:pPr>
            <w:r>
              <w:rPr>
                <w:rFonts w:hint="eastAsia"/>
                <w:b/>
                <w:bCs/>
                <w:sz w:val="24"/>
              </w:rPr>
              <w:t>名称</w:t>
            </w:r>
          </w:p>
        </w:tc>
        <w:tc>
          <w:tcPr>
            <w:tcW w:w="2081" w:type="dxa"/>
            <w:vAlign w:val="center"/>
          </w:tcPr>
          <w:p w14:paraId="6C8FA230">
            <w:pPr>
              <w:jc w:val="center"/>
              <w:rPr>
                <w:color w:val="000000"/>
                <w:szCs w:val="21"/>
              </w:rPr>
            </w:pPr>
            <w:r>
              <w:rPr>
                <w:rFonts w:hint="eastAsia"/>
                <w:b/>
                <w:bCs/>
                <w:sz w:val="24"/>
              </w:rPr>
              <w:t xml:space="preserve"> D</w:t>
            </w:r>
            <w:r>
              <w:rPr>
                <w:rFonts w:hint="eastAsia"/>
                <w:b/>
                <w:bCs/>
                <w:sz w:val="24"/>
                <w:vertAlign w:val="subscript"/>
              </w:rPr>
              <w:t>50s</w:t>
            </w:r>
            <w:r>
              <w:rPr>
                <w:rFonts w:hint="eastAsia"/>
                <w:b/>
                <w:bCs/>
                <w:sz w:val="24"/>
              </w:rPr>
              <w:t>直</w:t>
            </w:r>
          </w:p>
        </w:tc>
        <w:tc>
          <w:tcPr>
            <w:tcW w:w="2107" w:type="dxa"/>
            <w:vAlign w:val="center"/>
          </w:tcPr>
          <w:p w14:paraId="433B2DAF">
            <w:pPr>
              <w:jc w:val="center"/>
              <w:rPr>
                <w:color w:val="000000"/>
                <w:szCs w:val="21"/>
              </w:rPr>
            </w:pPr>
            <w:r>
              <w:rPr>
                <w:rFonts w:hint="eastAsia"/>
                <w:b/>
                <w:bCs/>
                <w:sz w:val="24"/>
              </w:rPr>
              <w:t>扩展不确定度</w:t>
            </w:r>
          </w:p>
        </w:tc>
      </w:tr>
      <w:tr w14:paraId="4784E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526" w:type="dxa"/>
            <w:vAlign w:val="center"/>
          </w:tcPr>
          <w:p w14:paraId="4C63CCC9">
            <w:pPr>
              <w:jc w:val="center"/>
              <w:rPr>
                <w:color w:val="000000"/>
                <w:szCs w:val="21"/>
              </w:rPr>
            </w:pPr>
            <w:r>
              <w:rPr>
                <w:rFonts w:hint="eastAsia"/>
                <w:b/>
                <w:bCs/>
                <w:sz w:val="24"/>
              </w:rPr>
              <w:t>GBW12042</w:t>
            </w:r>
          </w:p>
        </w:tc>
        <w:tc>
          <w:tcPr>
            <w:tcW w:w="2977" w:type="dxa"/>
          </w:tcPr>
          <w:p w14:paraId="3BE418B1">
            <w:pPr>
              <w:jc w:val="center"/>
              <w:rPr>
                <w:b/>
                <w:bCs/>
                <w:sz w:val="24"/>
              </w:rPr>
            </w:pPr>
            <w:r>
              <w:rPr>
                <w:rFonts w:hint="eastAsia"/>
                <w:b/>
                <w:bCs/>
                <w:sz w:val="24"/>
              </w:rPr>
              <w:t>窄分布中级实验室粉尘（MTD）粒度标准物质</w:t>
            </w:r>
          </w:p>
        </w:tc>
        <w:tc>
          <w:tcPr>
            <w:tcW w:w="2081" w:type="dxa"/>
            <w:vAlign w:val="center"/>
          </w:tcPr>
          <w:p w14:paraId="74F480EA">
            <w:pPr>
              <w:jc w:val="center"/>
              <w:rPr>
                <w:color w:val="000000"/>
                <w:szCs w:val="21"/>
              </w:rPr>
            </w:pPr>
            <w:r>
              <w:rPr>
                <w:rFonts w:hint="eastAsia"/>
                <w:b/>
                <w:bCs/>
                <w:sz w:val="24"/>
              </w:rPr>
              <w:t>7.66μm</w:t>
            </w:r>
          </w:p>
        </w:tc>
        <w:tc>
          <w:tcPr>
            <w:tcW w:w="2107" w:type="dxa"/>
            <w:vAlign w:val="center"/>
          </w:tcPr>
          <w:p w14:paraId="29A42497">
            <w:pPr>
              <w:jc w:val="center"/>
              <w:rPr>
                <w:color w:val="000000"/>
                <w:szCs w:val="21"/>
              </w:rPr>
            </w:pPr>
            <w:r>
              <w:rPr>
                <w:rFonts w:hint="eastAsia"/>
                <w:b/>
                <w:bCs/>
                <w:sz w:val="24"/>
              </w:rPr>
              <w:t>0.10μm</w:t>
            </w:r>
            <w:r>
              <w:rPr>
                <w:rFonts w:hint="eastAsia"/>
                <w:color w:val="000000"/>
                <w:szCs w:val="21"/>
              </w:rPr>
              <w:t xml:space="preserve"> （</w:t>
            </w:r>
            <w:r>
              <w:rPr>
                <w:rFonts w:hint="eastAsia"/>
                <w:i/>
                <w:color w:val="000000"/>
                <w:szCs w:val="21"/>
              </w:rPr>
              <w:t>k</w:t>
            </w:r>
            <w:r>
              <w:rPr>
                <w:rFonts w:hint="eastAsia"/>
                <w:color w:val="000000"/>
                <w:szCs w:val="21"/>
              </w:rPr>
              <w:t>=2）</w:t>
            </w:r>
          </w:p>
        </w:tc>
      </w:tr>
      <w:tr w14:paraId="7A73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526" w:type="dxa"/>
            <w:vAlign w:val="center"/>
          </w:tcPr>
          <w:p w14:paraId="24FBFBB3">
            <w:pPr>
              <w:jc w:val="center"/>
              <w:rPr>
                <w:color w:val="000000"/>
                <w:szCs w:val="21"/>
              </w:rPr>
            </w:pPr>
            <w:r>
              <w:rPr>
                <w:rFonts w:hint="eastAsia"/>
                <w:b/>
                <w:bCs/>
                <w:sz w:val="24"/>
              </w:rPr>
              <w:t>GBW12043</w:t>
            </w:r>
          </w:p>
        </w:tc>
        <w:tc>
          <w:tcPr>
            <w:tcW w:w="2977" w:type="dxa"/>
          </w:tcPr>
          <w:p w14:paraId="38F8F21F">
            <w:pPr>
              <w:jc w:val="center"/>
              <w:rPr>
                <w:b/>
                <w:bCs/>
                <w:sz w:val="24"/>
              </w:rPr>
            </w:pPr>
            <w:r>
              <w:rPr>
                <w:rFonts w:hint="eastAsia"/>
                <w:b/>
                <w:bCs/>
                <w:sz w:val="24"/>
              </w:rPr>
              <w:t>窄分布中级实验室粉尘（MTD）粒度标准物质</w:t>
            </w:r>
          </w:p>
        </w:tc>
        <w:tc>
          <w:tcPr>
            <w:tcW w:w="2081" w:type="dxa"/>
            <w:vAlign w:val="center"/>
          </w:tcPr>
          <w:p w14:paraId="735C06CC">
            <w:pPr>
              <w:jc w:val="center"/>
              <w:rPr>
                <w:color w:val="000000"/>
                <w:szCs w:val="21"/>
              </w:rPr>
            </w:pPr>
            <w:r>
              <w:rPr>
                <w:rFonts w:hint="eastAsia"/>
                <w:b/>
                <w:bCs/>
                <w:sz w:val="24"/>
              </w:rPr>
              <w:t>17.98μm</w:t>
            </w:r>
          </w:p>
        </w:tc>
        <w:tc>
          <w:tcPr>
            <w:tcW w:w="2107" w:type="dxa"/>
            <w:vAlign w:val="center"/>
          </w:tcPr>
          <w:p w14:paraId="6563D720">
            <w:pPr>
              <w:jc w:val="center"/>
              <w:rPr>
                <w:color w:val="000000"/>
                <w:szCs w:val="21"/>
              </w:rPr>
            </w:pPr>
            <w:r>
              <w:rPr>
                <w:rFonts w:hint="eastAsia"/>
                <w:b/>
                <w:bCs/>
                <w:sz w:val="24"/>
              </w:rPr>
              <w:t>0.28μm</w:t>
            </w:r>
            <w:r>
              <w:rPr>
                <w:rFonts w:hint="eastAsia"/>
                <w:color w:val="000000"/>
                <w:szCs w:val="21"/>
              </w:rPr>
              <w:t xml:space="preserve"> （</w:t>
            </w:r>
            <w:r>
              <w:rPr>
                <w:rFonts w:hint="eastAsia"/>
                <w:i/>
                <w:color w:val="000000"/>
                <w:szCs w:val="21"/>
              </w:rPr>
              <w:t>k</w:t>
            </w:r>
            <w:r>
              <w:rPr>
                <w:rFonts w:hint="eastAsia"/>
                <w:color w:val="000000"/>
                <w:szCs w:val="21"/>
              </w:rPr>
              <w:t>=2）</w:t>
            </w:r>
          </w:p>
        </w:tc>
      </w:tr>
      <w:tr w14:paraId="4634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526" w:type="dxa"/>
            <w:vAlign w:val="center"/>
          </w:tcPr>
          <w:p w14:paraId="4B3F342E">
            <w:pPr>
              <w:jc w:val="center"/>
              <w:rPr>
                <w:b/>
                <w:bCs/>
                <w:sz w:val="24"/>
              </w:rPr>
            </w:pPr>
            <w:r>
              <w:rPr>
                <w:rFonts w:hint="eastAsia"/>
                <w:b/>
                <w:bCs/>
                <w:sz w:val="24"/>
              </w:rPr>
              <w:t>GBW12044</w:t>
            </w:r>
          </w:p>
        </w:tc>
        <w:tc>
          <w:tcPr>
            <w:tcW w:w="2977" w:type="dxa"/>
          </w:tcPr>
          <w:p w14:paraId="2315A065">
            <w:pPr>
              <w:jc w:val="center"/>
              <w:rPr>
                <w:b/>
                <w:bCs/>
                <w:sz w:val="24"/>
              </w:rPr>
            </w:pPr>
            <w:r>
              <w:rPr>
                <w:rFonts w:hint="eastAsia"/>
                <w:b/>
                <w:bCs/>
                <w:sz w:val="24"/>
              </w:rPr>
              <w:t>窄分布中级实验室粉尘（MTD）粒度标准物质</w:t>
            </w:r>
          </w:p>
        </w:tc>
        <w:tc>
          <w:tcPr>
            <w:tcW w:w="2081" w:type="dxa"/>
            <w:vAlign w:val="center"/>
          </w:tcPr>
          <w:p w14:paraId="23C47403">
            <w:pPr>
              <w:jc w:val="center"/>
              <w:rPr>
                <w:b/>
                <w:bCs/>
                <w:sz w:val="24"/>
              </w:rPr>
            </w:pPr>
            <w:r>
              <w:rPr>
                <w:rFonts w:hint="eastAsia"/>
                <w:b/>
                <w:bCs/>
                <w:sz w:val="24"/>
              </w:rPr>
              <w:t>29.16μm</w:t>
            </w:r>
          </w:p>
        </w:tc>
        <w:tc>
          <w:tcPr>
            <w:tcW w:w="2107" w:type="dxa"/>
            <w:vAlign w:val="center"/>
          </w:tcPr>
          <w:p w14:paraId="54FA0DF1">
            <w:pPr>
              <w:jc w:val="center"/>
              <w:rPr>
                <w:color w:val="000000"/>
                <w:szCs w:val="21"/>
              </w:rPr>
            </w:pPr>
            <w:r>
              <w:rPr>
                <w:rFonts w:hint="eastAsia"/>
                <w:b/>
                <w:bCs/>
                <w:sz w:val="24"/>
              </w:rPr>
              <w:t>0.44μm</w:t>
            </w:r>
            <w:r>
              <w:rPr>
                <w:rFonts w:hint="eastAsia"/>
                <w:color w:val="000000"/>
                <w:szCs w:val="21"/>
              </w:rPr>
              <w:t xml:space="preserve"> （</w:t>
            </w:r>
            <w:r>
              <w:rPr>
                <w:rFonts w:hint="eastAsia"/>
                <w:i/>
                <w:color w:val="000000"/>
                <w:szCs w:val="21"/>
              </w:rPr>
              <w:t>k</w:t>
            </w:r>
            <w:r>
              <w:rPr>
                <w:rFonts w:hint="eastAsia"/>
                <w:color w:val="000000"/>
                <w:szCs w:val="21"/>
              </w:rPr>
              <w:t>=2）</w:t>
            </w:r>
          </w:p>
        </w:tc>
      </w:tr>
    </w:tbl>
    <w:p w14:paraId="4CD8B7FB">
      <w:pPr>
        <w:autoSpaceDE w:val="0"/>
        <w:autoSpaceDN w:val="0"/>
        <w:adjustRightInd w:val="0"/>
        <w:jc w:val="left"/>
        <w:rPr>
          <w:rFonts w:ascii="宋体" w:hAnsi="Calibri" w:cs="宋体"/>
          <w:kern w:val="0"/>
          <w:sz w:val="24"/>
        </w:rPr>
      </w:pPr>
    </w:p>
    <w:p w14:paraId="315F766A">
      <w:pPr>
        <w:autoSpaceDE w:val="0"/>
        <w:autoSpaceDN w:val="0"/>
        <w:adjustRightInd w:val="0"/>
        <w:jc w:val="left"/>
        <w:rPr>
          <w:rFonts w:ascii="宋体" w:hAnsi="Calibri" w:cs="宋体"/>
          <w:kern w:val="0"/>
          <w:sz w:val="24"/>
        </w:rPr>
      </w:pPr>
      <w:r>
        <w:rPr>
          <w:rFonts w:ascii="Calibri" w:hAnsi="Calibri" w:cs="Calibri" w:eastAsiaTheme="minorEastAsia"/>
          <w:kern w:val="0"/>
          <w:sz w:val="24"/>
        </w:rPr>
        <w:t xml:space="preserve">C.1.2 </w:t>
      </w:r>
      <w:r>
        <w:rPr>
          <w:rFonts w:hint="eastAsia" w:ascii="宋体" w:hAnsi="Calibri" w:cs="宋体"/>
          <w:kern w:val="0"/>
          <w:sz w:val="24"/>
        </w:rPr>
        <w:t>被测对象：干法激光粒度分析仪</w:t>
      </w:r>
    </w:p>
    <w:p w14:paraId="4916AE26">
      <w:pPr>
        <w:autoSpaceDE w:val="0"/>
        <w:autoSpaceDN w:val="0"/>
        <w:adjustRightInd w:val="0"/>
        <w:jc w:val="left"/>
        <w:rPr>
          <w:rFonts w:ascii="宋体" w:hAnsi="Calibri" w:cs="宋体"/>
          <w:kern w:val="0"/>
          <w:sz w:val="24"/>
        </w:rPr>
      </w:pPr>
      <w:r>
        <w:rPr>
          <w:rFonts w:ascii="Calibri" w:hAnsi="Calibri" w:cs="Calibri" w:eastAsiaTheme="minorEastAsia"/>
          <w:kern w:val="0"/>
          <w:sz w:val="24"/>
        </w:rPr>
        <w:t xml:space="preserve">C.1.3 </w:t>
      </w:r>
      <w:r>
        <w:rPr>
          <w:rFonts w:hint="eastAsia" w:ascii="宋体" w:hAnsi="Calibri" w:cs="宋体"/>
          <w:kern w:val="0"/>
          <w:sz w:val="24"/>
        </w:rPr>
        <w:t>环境条件：环境温度：（</w:t>
      </w:r>
      <w:r>
        <w:rPr>
          <w:rFonts w:ascii="Calibri" w:hAnsi="Calibri" w:cs="Calibri" w:eastAsiaTheme="minorEastAsia"/>
          <w:kern w:val="0"/>
          <w:sz w:val="24"/>
        </w:rPr>
        <w:t>15</w:t>
      </w:r>
      <w:r>
        <w:rPr>
          <w:rFonts w:hint="eastAsia" w:ascii="宋体" w:hAnsi="Calibri" w:cs="宋体"/>
          <w:kern w:val="0"/>
          <w:sz w:val="24"/>
        </w:rPr>
        <w:t>～</w:t>
      </w:r>
      <w:r>
        <w:rPr>
          <w:rFonts w:ascii="Calibri" w:hAnsi="Calibri" w:cs="Calibri" w:eastAsiaTheme="minorEastAsia"/>
          <w:kern w:val="0"/>
          <w:sz w:val="24"/>
        </w:rPr>
        <w:t>35</w:t>
      </w:r>
      <w:r>
        <w:rPr>
          <w:rFonts w:hint="eastAsia" w:ascii="宋体" w:hAnsi="Calibri" w:cs="宋体"/>
          <w:kern w:val="0"/>
          <w:sz w:val="24"/>
        </w:rPr>
        <w:t>）℃；相对湿度：</w:t>
      </w:r>
      <w:r>
        <w:rPr>
          <w:rFonts w:ascii="Calibri" w:hAnsi="Calibri" w:cs="Calibri" w:eastAsiaTheme="minorEastAsia"/>
          <w:kern w:val="0"/>
          <w:sz w:val="24"/>
        </w:rPr>
        <w:t>≤80%</w:t>
      </w:r>
      <w:r>
        <w:rPr>
          <w:rFonts w:hint="eastAsia" w:ascii="宋体" w:hAnsi="Calibri" w:cs="宋体"/>
          <w:kern w:val="0"/>
          <w:sz w:val="24"/>
        </w:rPr>
        <w:t>；</w:t>
      </w:r>
    </w:p>
    <w:p w14:paraId="1D600D01">
      <w:pPr>
        <w:autoSpaceDE w:val="0"/>
        <w:autoSpaceDN w:val="0"/>
        <w:adjustRightInd w:val="0"/>
        <w:jc w:val="left"/>
        <w:rPr>
          <w:rFonts w:ascii="宋体" w:hAnsi="Calibri" w:cs="宋体"/>
          <w:kern w:val="0"/>
          <w:sz w:val="24"/>
        </w:rPr>
      </w:pPr>
      <w:r>
        <w:rPr>
          <w:rFonts w:ascii="Calibri" w:hAnsi="Calibri" w:cs="Calibri" w:eastAsiaTheme="minorEastAsia"/>
          <w:kern w:val="0"/>
          <w:sz w:val="24"/>
        </w:rPr>
        <w:t xml:space="preserve">C.1.4 </w:t>
      </w:r>
      <w:r>
        <w:rPr>
          <w:rFonts w:hint="eastAsia" w:ascii="宋体" w:hAnsi="Calibri" w:cs="宋体"/>
          <w:kern w:val="0"/>
          <w:sz w:val="24"/>
        </w:rPr>
        <w:t>测量方法：选择粒度标准物质，仪器预热</w:t>
      </w:r>
      <w:r>
        <w:rPr>
          <w:rFonts w:ascii="Calibri" w:hAnsi="Calibri" w:cs="Calibri" w:eastAsiaTheme="minorEastAsia"/>
          <w:kern w:val="0"/>
          <w:sz w:val="24"/>
        </w:rPr>
        <w:t xml:space="preserve">30min </w:t>
      </w:r>
      <w:r>
        <w:rPr>
          <w:rFonts w:hint="eastAsia" w:ascii="宋体" w:hAnsi="Calibri" w:cs="宋体"/>
          <w:kern w:val="0"/>
          <w:sz w:val="24"/>
        </w:rPr>
        <w:t>后按照说明书设置样品测试模式，</w:t>
      </w:r>
    </w:p>
    <w:p w14:paraId="3E37806E">
      <w:pPr>
        <w:autoSpaceDE w:val="0"/>
        <w:autoSpaceDN w:val="0"/>
        <w:adjustRightInd w:val="0"/>
        <w:jc w:val="left"/>
        <w:rPr>
          <w:rFonts w:ascii="宋体" w:hAnsi="Calibri" w:cs="宋体"/>
          <w:kern w:val="0"/>
          <w:sz w:val="24"/>
        </w:rPr>
      </w:pPr>
      <w:r>
        <w:rPr>
          <w:rFonts w:hint="eastAsia" w:ascii="宋体" w:hAnsi="Calibri" w:cs="宋体"/>
          <w:kern w:val="0"/>
          <w:sz w:val="24"/>
        </w:rPr>
        <w:t>用仪器测量粒度标准物质，测量</w:t>
      </w:r>
      <w:r>
        <w:rPr>
          <w:rFonts w:ascii="Calibri" w:hAnsi="Calibri" w:cs="Calibri" w:eastAsiaTheme="minorEastAsia"/>
          <w:kern w:val="0"/>
          <w:sz w:val="24"/>
        </w:rPr>
        <w:t xml:space="preserve">3 </w:t>
      </w:r>
      <w:r>
        <w:rPr>
          <w:rFonts w:hint="eastAsia" w:ascii="宋体" w:hAnsi="Calibri" w:cs="宋体"/>
          <w:kern w:val="0"/>
          <w:sz w:val="24"/>
        </w:rPr>
        <w:t>次并记录数据。</w:t>
      </w:r>
    </w:p>
    <w:p w14:paraId="7659F405">
      <w:pPr>
        <w:autoSpaceDE w:val="0"/>
        <w:autoSpaceDN w:val="0"/>
        <w:adjustRightInd w:val="0"/>
        <w:jc w:val="left"/>
        <w:rPr>
          <w:rFonts w:ascii="宋体" w:hAnsi="Calibri" w:cs="宋体"/>
          <w:kern w:val="0"/>
          <w:sz w:val="24"/>
        </w:rPr>
      </w:pPr>
      <w:r>
        <w:rPr>
          <w:rFonts w:ascii="Calibri" w:hAnsi="Calibri" w:cs="Calibri" w:eastAsiaTheme="minorEastAsia"/>
          <w:kern w:val="0"/>
          <w:sz w:val="24"/>
        </w:rPr>
        <w:t xml:space="preserve">C.2 </w:t>
      </w:r>
      <w:r>
        <w:rPr>
          <w:rFonts w:hint="eastAsia" w:ascii="宋体" w:hAnsi="Calibri" w:cs="宋体"/>
          <w:b/>
          <w:kern w:val="0"/>
          <w:sz w:val="24"/>
        </w:rPr>
        <w:t>建立数学模型</w:t>
      </w:r>
    </w:p>
    <w:p w14:paraId="388A8F73">
      <w:pPr>
        <w:autoSpaceDE w:val="0"/>
        <w:autoSpaceDN w:val="0"/>
        <w:adjustRightInd w:val="0"/>
        <w:jc w:val="left"/>
        <w:rPr>
          <w:rFonts w:ascii="宋体" w:hAnsi="Calibri" w:cs="宋体"/>
          <w:kern w:val="0"/>
          <w:sz w:val="24"/>
        </w:rPr>
      </w:pPr>
      <w:r>
        <w:rPr>
          <w:rFonts w:ascii="Calibri" w:hAnsi="Calibri" w:cs="Calibri" w:eastAsiaTheme="minorEastAsia"/>
          <w:kern w:val="0"/>
          <w:sz w:val="24"/>
        </w:rPr>
        <w:t xml:space="preserve">C.2.1 </w:t>
      </w:r>
      <w:r>
        <w:rPr>
          <w:rFonts w:hint="eastAsia" w:ascii="宋体" w:hAnsi="Calibri" w:cs="宋体"/>
          <w:kern w:val="0"/>
          <w:sz w:val="24"/>
        </w:rPr>
        <w:t>仪器示值误差</w:t>
      </w:r>
    </w:p>
    <w:p w14:paraId="266BAE12">
      <w:pPr>
        <w:spacing w:line="360" w:lineRule="auto"/>
        <w:jc w:val="left"/>
        <w:rPr>
          <w:rFonts w:ascii="宋体" w:hAnsi="Calibri" w:cs="宋体"/>
          <w:kern w:val="0"/>
          <w:sz w:val="24"/>
        </w:rPr>
      </w:pPr>
      <w:r>
        <w:rPr>
          <w:rFonts w:hint="eastAsia" w:ascii="宋体" w:hAnsi="Calibri" w:cs="宋体"/>
          <w:kern w:val="0"/>
          <w:sz w:val="24"/>
        </w:rPr>
        <w:t>仪器示值</w:t>
      </w:r>
      <m:oMath>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ctrlPr>
              <w:rPr>
                <w:rFonts w:ascii="Cambria Math" w:hAnsi="Cambria Math"/>
                <w:i/>
                <w:sz w:val="24"/>
              </w:rPr>
            </m:ctrlPr>
          </m:sub>
        </m:sSub>
      </m:oMath>
      <w:r>
        <w:rPr>
          <w:rFonts w:hint="eastAsia" w:ascii="宋体" w:hAnsi="Calibri" w:cs="宋体"/>
          <w:kern w:val="0"/>
          <w:sz w:val="24"/>
        </w:rPr>
        <w:t>按公式</w:t>
      </w:r>
      <w:r>
        <w:rPr>
          <w:rFonts w:ascii="宋体" w:hAnsi="Calibri" w:cs="宋体"/>
          <w:kern w:val="0"/>
          <w:sz w:val="24"/>
        </w:rPr>
        <w:t xml:space="preserve"> </w:t>
      </w:r>
      <w:r>
        <w:rPr>
          <w:rFonts w:ascii="Calibri" w:hAnsi="Calibri" w:cs="Calibri" w:eastAsiaTheme="minorEastAsia"/>
          <w:kern w:val="0"/>
          <w:sz w:val="24"/>
        </w:rPr>
        <w:t xml:space="preserve">C.1 </w:t>
      </w:r>
      <w:r>
        <w:rPr>
          <w:rFonts w:hint="eastAsia" w:ascii="宋体" w:hAnsi="Calibri" w:cs="宋体"/>
          <w:kern w:val="0"/>
          <w:sz w:val="24"/>
        </w:rPr>
        <w:t>计算</w:t>
      </w:r>
    </w:p>
    <w:p w14:paraId="5E5AACB4">
      <w:pPr>
        <w:snapToGrid w:val="0"/>
        <w:spacing w:line="360" w:lineRule="auto"/>
        <w:jc w:val="right"/>
        <w:rPr>
          <w:rFonts w:eastAsia="仿宋_GB2312"/>
          <w:sz w:val="24"/>
        </w:rPr>
      </w:pPr>
      <w:r>
        <w:rPr>
          <w:rFonts w:ascii="宋体" w:hAnsi="宋体"/>
          <w:position w:val="-10"/>
          <w:sz w:val="24"/>
        </w:rPr>
        <w:object>
          <v:shape id="_x0000_i1025" o:spt="75" type="#_x0000_t75" style="height:20.4pt;width:95.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仿宋_GB2312"/>
          <w:sz w:val="24"/>
        </w:rPr>
        <w:t xml:space="preserve">                   （</w:t>
      </w:r>
      <w:r>
        <w:rPr>
          <w:rFonts w:ascii="Calibri" w:hAnsi="Calibri" w:cs="Calibri" w:eastAsiaTheme="minorEastAsia"/>
          <w:kern w:val="0"/>
          <w:sz w:val="24"/>
        </w:rPr>
        <w:t>C.1</w:t>
      </w:r>
      <w:r>
        <w:rPr>
          <w:rFonts w:eastAsia="仿宋_GB2312"/>
          <w:sz w:val="24"/>
        </w:rPr>
        <w:t>）</w:t>
      </w:r>
    </w:p>
    <w:p w14:paraId="1C55229B">
      <w:pPr>
        <w:tabs>
          <w:tab w:val="left" w:pos="540"/>
        </w:tabs>
        <w:autoSpaceDE w:val="0"/>
        <w:autoSpaceDN w:val="0"/>
        <w:adjustRightInd w:val="0"/>
        <w:spacing w:line="360" w:lineRule="auto"/>
        <w:ind w:firstLine="480" w:firstLineChars="200"/>
        <w:rPr>
          <w:sz w:val="24"/>
        </w:rPr>
      </w:pPr>
      <w:r>
        <w:rPr>
          <w:sz w:val="24"/>
        </w:rPr>
        <w:t>式中：</w:t>
      </w:r>
    </w:p>
    <w:p w14:paraId="5B6F072E">
      <w:pPr>
        <w:tabs>
          <w:tab w:val="left" w:pos="540"/>
        </w:tabs>
        <w:autoSpaceDE w:val="0"/>
        <w:autoSpaceDN w:val="0"/>
        <w:adjustRightInd w:val="0"/>
        <w:spacing w:line="360" w:lineRule="auto"/>
        <w:ind w:firstLine="960" w:firstLineChars="400"/>
        <w:rPr>
          <w:sz w:val="24"/>
        </w:rPr>
      </w:pPr>
      <m:oMath>
        <m:sSub>
          <m:sSubPr>
            <m:ctrlPr>
              <w:rPr>
                <w:rFonts w:ascii="Cambria Math" w:hAnsi="Cambria Math"/>
                <w:i/>
                <w:sz w:val="24"/>
              </w:rPr>
            </m:ctrlPr>
          </m:sSubPr>
          <m:e>
            <m:r>
              <m:rPr>
                <m:sty m:val="b"/>
              </m:rPr>
              <w:rPr>
                <w:rFonts w:hint="eastAsia" w:ascii="Cambria Math" w:hAnsi="Cambria Math"/>
              </w:rPr>
              <w:sym w:font="Symbol" w:char="F044"/>
            </m:r>
            <m:r>
              <m:rPr/>
              <w:rPr>
                <w:rFonts w:ascii="Cambria Math" w:hAnsi="Cambria Math"/>
                <w:sz w:val="24"/>
              </w:rPr>
              <m:t>D</m:t>
            </m:r>
            <m:ctrlPr>
              <w:rPr>
                <w:rFonts w:ascii="Cambria Math" w:hAnsi="Cambria Math"/>
                <w:i/>
                <w:sz w:val="24"/>
              </w:rPr>
            </m:ctrlPr>
          </m:e>
          <m:sub>
            <m:r>
              <m:rPr/>
              <w:rPr>
                <w:rFonts w:ascii="Cambria Math" w:hAnsi="Cambria Math"/>
                <w:sz w:val="24"/>
              </w:rPr>
              <m:t>50</m:t>
            </m:r>
            <m:ctrlPr>
              <w:rPr>
                <w:rFonts w:ascii="Cambria Math" w:hAnsi="Cambria Math"/>
                <w:i/>
                <w:sz w:val="24"/>
              </w:rPr>
            </m:ctrlPr>
          </m:sub>
        </m:sSub>
      </m:oMath>
      <w:r>
        <w:rPr>
          <w:sz w:val="24"/>
        </w:rPr>
        <w:t>——</w:t>
      </w:r>
      <w:r>
        <w:rPr>
          <w:rFonts w:hint="eastAsia" w:ascii="宋体" w:cs="宋体" w:hAnsiTheme="minorHAnsi"/>
          <w:kern w:val="0"/>
          <w:sz w:val="24"/>
        </w:rPr>
        <w:t>仪器示值误差，</w:t>
      </w:r>
      <w:r>
        <w:rPr>
          <w:rFonts w:ascii="Calibri" w:hAnsi="Calibri" w:cs="Calibri"/>
          <w:kern w:val="0"/>
          <w:sz w:val="24"/>
        </w:rPr>
        <w:t>%</w:t>
      </w:r>
      <w:r>
        <w:rPr>
          <w:sz w:val="24"/>
        </w:rPr>
        <w:t>；</w:t>
      </w:r>
    </w:p>
    <w:p w14:paraId="6F461A7B">
      <w:pPr>
        <w:tabs>
          <w:tab w:val="left" w:pos="540"/>
        </w:tabs>
        <w:autoSpaceDE w:val="0"/>
        <w:autoSpaceDN w:val="0"/>
        <w:adjustRightInd w:val="0"/>
        <w:spacing w:line="360" w:lineRule="auto"/>
        <w:ind w:firstLine="960" w:firstLineChars="400"/>
        <w:rPr>
          <w:sz w:val="24"/>
        </w:rPr>
      </w:pPr>
      <m:oMath>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oMath>
      <w:r>
        <w:rPr>
          <w:sz w:val="24"/>
        </w:rPr>
        <w:t>——</w:t>
      </w:r>
      <w:r>
        <w:rPr>
          <w:rFonts w:hint="eastAsia" w:ascii="宋体" w:cs="宋体" w:hAnsiTheme="minorHAnsi"/>
          <w:kern w:val="0"/>
          <w:sz w:val="24"/>
        </w:rPr>
        <w:t>仪器测量平均值，</w:t>
      </w:r>
      <w:r>
        <w:rPr>
          <w:rFonts w:ascii="Calibri" w:hAnsi="Calibri" w:cs="Calibri"/>
          <w:kern w:val="0"/>
          <w:sz w:val="24"/>
        </w:rPr>
        <w:t>μm</w:t>
      </w:r>
      <w:r>
        <w:rPr>
          <w:rFonts w:hint="eastAsia" w:ascii="宋体" w:cs="宋体" w:hAnsiTheme="minorHAnsi"/>
          <w:kern w:val="0"/>
          <w:sz w:val="24"/>
        </w:rPr>
        <w:t>；</w:t>
      </w:r>
    </w:p>
    <w:p w14:paraId="6A474F05">
      <w:pPr>
        <w:tabs>
          <w:tab w:val="left" w:pos="540"/>
        </w:tabs>
        <w:autoSpaceDE w:val="0"/>
        <w:autoSpaceDN w:val="0"/>
        <w:adjustRightInd w:val="0"/>
        <w:spacing w:line="360" w:lineRule="auto"/>
        <w:ind w:firstLine="960" w:firstLineChars="400"/>
        <w:rPr>
          <w:sz w:val="24"/>
        </w:rPr>
      </w:pPr>
      <m:oMath>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oMath>
      <w:r>
        <w:rPr>
          <w:sz w:val="24"/>
        </w:rPr>
        <w:t>——</w:t>
      </w:r>
      <w:r>
        <w:rPr>
          <w:rFonts w:hint="eastAsia" w:ascii="宋体" w:cs="宋体" w:hAnsiTheme="minorHAnsi"/>
          <w:kern w:val="0"/>
          <w:sz w:val="24"/>
        </w:rPr>
        <w:t>粒度标准物质标准值，</w:t>
      </w:r>
      <w:r>
        <w:rPr>
          <w:rFonts w:ascii="Calibri" w:hAnsi="Calibri" w:cs="Calibri"/>
          <w:kern w:val="0"/>
          <w:sz w:val="24"/>
        </w:rPr>
        <w:t>μm</w:t>
      </w:r>
      <w:r>
        <w:rPr>
          <w:rFonts w:hint="eastAsia" w:ascii="Calibri" w:hAnsi="Calibri" w:cs="Calibri"/>
          <w:kern w:val="0"/>
          <w:sz w:val="24"/>
        </w:rPr>
        <w:t>。</w:t>
      </w:r>
    </w:p>
    <w:p w14:paraId="1FA253C8">
      <w:pPr>
        <w:autoSpaceDE w:val="0"/>
        <w:autoSpaceDN w:val="0"/>
        <w:adjustRightInd w:val="0"/>
        <w:jc w:val="left"/>
        <w:rPr>
          <w:rFonts w:hint="eastAsia" w:ascii="宋体" w:cs="宋体" w:hAnsiTheme="minorHAnsi"/>
          <w:kern w:val="0"/>
          <w:sz w:val="24"/>
        </w:rPr>
      </w:pPr>
      <w:r>
        <w:rPr>
          <w:rFonts w:ascii="Calibri" w:hAnsi="Calibri" w:cs="Calibri"/>
          <w:kern w:val="0"/>
          <w:sz w:val="24"/>
        </w:rPr>
        <w:t xml:space="preserve">C.2.2 </w:t>
      </w:r>
      <w:r>
        <w:rPr>
          <w:rFonts w:hint="eastAsia" w:ascii="宋体" w:cs="宋体" w:hAnsiTheme="minorHAnsi"/>
          <w:kern w:val="0"/>
          <w:sz w:val="24"/>
        </w:rPr>
        <w:t>不确定度分量评定</w:t>
      </w:r>
    </w:p>
    <w:p w14:paraId="5E6B8950">
      <w:pPr>
        <w:ind w:firstLine="480" w:firstLineChars="200"/>
        <w:rPr>
          <w:rFonts w:ascii="宋体" w:hAnsi="宋体"/>
          <w:sz w:val="24"/>
        </w:rPr>
      </w:pPr>
      <w:r>
        <w:rPr>
          <w:rFonts w:hint="eastAsia" w:ascii="宋体" w:hAnsi="宋体"/>
          <w:sz w:val="24"/>
        </w:rPr>
        <w:t>由于各测量参数互不相关</w:t>
      </w:r>
      <w:r>
        <w:rPr>
          <w:rFonts w:ascii="宋体" w:hAnsi="宋体"/>
          <w:sz w:val="24"/>
        </w:rPr>
        <w:t xml:space="preserve">, </w:t>
      </w:r>
      <w:r>
        <w:rPr>
          <w:rFonts w:hint="eastAsia" w:ascii="宋体" w:hAnsi="宋体"/>
          <w:sz w:val="24"/>
        </w:rPr>
        <w:t>所以被测激光粒度分析仪在测量点上的测量不确定度为：</w:t>
      </w:r>
    </w:p>
    <w:p w14:paraId="61974DB2">
      <w:pPr>
        <w:jc w:val="center"/>
        <w:rPr>
          <w:rFonts w:hint="eastAsia" w:ascii="宋体" w:hAnsi="宋体"/>
          <w:sz w:val="24"/>
        </w:rPr>
      </w:pPr>
      <w:r>
        <w:rPr>
          <w:rFonts w:ascii="宋体" w:hAnsi="宋体"/>
          <w:position w:val="-14"/>
          <w:sz w:val="24"/>
        </w:rPr>
        <w:object>
          <v:shape id="_x0000_i1026" o:spt="75" type="#_x0000_t75" style="height:21.05pt;width:134.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64EF8540">
      <w:pPr>
        <w:rPr>
          <w:rFonts w:hint="eastAsia" w:ascii="宋体" w:hAnsi="宋体"/>
          <w:sz w:val="24"/>
        </w:rPr>
      </w:pPr>
      <w:r>
        <w:rPr>
          <w:rFonts w:hint="eastAsia" w:ascii="宋体" w:hAnsi="宋体"/>
          <w:sz w:val="24"/>
        </w:rPr>
        <w:t>灵敏度系数为</w:t>
      </w:r>
      <w:r>
        <w:rPr>
          <w:rFonts w:ascii="宋体" w:hAnsi="宋体"/>
          <w:i/>
          <w:iCs/>
          <w:sz w:val="24"/>
        </w:rPr>
        <w:t>c</w:t>
      </w:r>
      <w:r>
        <w:rPr>
          <w:rFonts w:hint="eastAsia" w:ascii="宋体" w:hAnsi="宋体"/>
          <w:sz w:val="24"/>
          <w:vertAlign w:val="subscript"/>
        </w:rPr>
        <w:t>1</w:t>
      </w:r>
      <w:r>
        <w:rPr>
          <w:rFonts w:hint="eastAsia" w:ascii="宋体" w:hAnsi="宋体"/>
          <w:sz w:val="24"/>
        </w:rPr>
        <w:t>=1、</w:t>
      </w:r>
      <w:r>
        <w:rPr>
          <w:rFonts w:ascii="宋体" w:hAnsi="宋体"/>
          <w:i/>
          <w:iCs/>
          <w:sz w:val="24"/>
        </w:rPr>
        <w:t>c</w:t>
      </w:r>
      <w:r>
        <w:rPr>
          <w:rFonts w:hint="eastAsia" w:ascii="宋体" w:hAnsi="宋体"/>
          <w:sz w:val="24"/>
          <w:vertAlign w:val="subscript"/>
        </w:rPr>
        <w:t>2</w:t>
      </w:r>
      <w:r>
        <w:rPr>
          <w:rFonts w:hint="eastAsia" w:ascii="宋体" w:hAnsi="宋体"/>
          <w:sz w:val="24"/>
        </w:rPr>
        <w:t>=1。</w:t>
      </w:r>
    </w:p>
    <w:p w14:paraId="43AE5431">
      <w:pPr>
        <w:autoSpaceDE w:val="0"/>
        <w:autoSpaceDN w:val="0"/>
        <w:adjustRightInd w:val="0"/>
        <w:jc w:val="left"/>
        <w:rPr>
          <w:rFonts w:ascii="宋体" w:cs="宋体" w:hAnsiTheme="minorHAnsi"/>
          <w:kern w:val="0"/>
          <w:sz w:val="24"/>
        </w:rPr>
      </w:pPr>
    </w:p>
    <w:p w14:paraId="122D5F0B">
      <w:pPr>
        <w:spacing w:line="360" w:lineRule="auto"/>
        <w:jc w:val="left"/>
        <w:rPr>
          <w:rFonts w:hint="eastAsia" w:ascii="宋体" w:cs="宋体" w:hAnsiTheme="minorHAnsi"/>
          <w:kern w:val="0"/>
          <w:sz w:val="24"/>
        </w:rPr>
      </w:pPr>
      <w:r>
        <w:rPr>
          <w:rFonts w:hint="eastAsia" w:ascii="宋体" w:cs="宋体" w:hAnsiTheme="minorHAnsi"/>
          <w:kern w:val="0"/>
          <w:sz w:val="24"/>
        </w:rPr>
        <w:t>示值误差不确定度来源主要有：标准物质</w:t>
      </w:r>
      <w:r>
        <w:rPr>
          <w:rFonts w:ascii="宋体" w:cs="宋体" w:hAnsiTheme="minorHAnsi"/>
          <w:kern w:val="0"/>
          <w:sz w:val="24"/>
        </w:rPr>
        <w:t>的</w:t>
      </w:r>
      <w:r>
        <w:rPr>
          <w:rFonts w:hint="eastAsia" w:ascii="宋体" w:cs="宋体" w:hAnsiTheme="minorHAnsi"/>
          <w:kern w:val="0"/>
          <w:sz w:val="24"/>
        </w:rPr>
        <w:t>不确定度</w:t>
      </w:r>
      <w:r>
        <w:rPr>
          <w:rFonts w:ascii="宋体" w:cs="宋体" w:hAnsiTheme="minorHAnsi"/>
          <w:b/>
          <w:bCs/>
          <w:i/>
          <w:sz w:val="24"/>
        </w:rPr>
        <w:t xml:space="preserve">u </w:t>
      </w:r>
      <w:r>
        <w:rPr>
          <w:rFonts w:ascii="宋体" w:cs="宋体" w:hAnsiTheme="minorHAnsi"/>
          <w:b/>
          <w:bCs/>
          <w:sz w:val="24"/>
        </w:rPr>
        <w:t>(</w:t>
      </w:r>
      <m:oMath>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50S</m:t>
            </m:r>
            <m:ctrlPr>
              <w:rPr>
                <w:rFonts w:ascii="Cambria Math" w:hAnsi="Cambria Math"/>
                <w:bCs/>
                <w:i/>
                <w:sz w:val="24"/>
              </w:rPr>
            </m:ctrlPr>
          </m:sub>
        </m:sSub>
        <m:r>
          <m:rPr>
            <m:sty m:val="p"/>
          </m:rPr>
          <w:rPr>
            <w:rFonts w:ascii="Cambria Math" w:hAnsi="Cambria Math"/>
            <w:sz w:val="24"/>
          </w:rPr>
          <m:t>），人</m:t>
        </m:r>
      </m:oMath>
      <w:r>
        <w:rPr>
          <w:rFonts w:ascii="宋体" w:cs="宋体" w:hAnsiTheme="minorHAnsi"/>
          <w:kern w:val="0"/>
          <w:sz w:val="24"/>
        </w:rPr>
        <w:t>员操作和被校仪器等各种随机因素引入的不确定度</w:t>
      </w:r>
      <w:r>
        <w:rPr>
          <w:rFonts w:hint="eastAsia" w:ascii="宋体" w:cs="宋体" w:hAnsiTheme="minorHAnsi"/>
          <w:kern w:val="0"/>
          <w:sz w:val="24"/>
        </w:rPr>
        <w:t>，体现在重复性中</w:t>
      </w:r>
      <w:r>
        <w:rPr>
          <w:rFonts w:ascii="宋体" w:cs="宋体" w:hAnsiTheme="minorHAnsi"/>
          <w:b/>
          <w:bCs/>
          <w:i/>
          <w:sz w:val="24"/>
        </w:rPr>
        <w:t xml:space="preserve">u </w:t>
      </w:r>
      <w:r>
        <w:rPr>
          <w:rFonts w:ascii="宋体" w:cs="宋体" w:hAnsiTheme="minorHAnsi"/>
          <w:b/>
          <w:bCs/>
          <w:sz w:val="24"/>
        </w:rPr>
        <w:t>(</w:t>
      </w:r>
      <m:oMath>
        <m:bar>
          <m:barPr>
            <m:pos m:val="top"/>
            <m:ctrlPr>
              <w:rPr>
                <w:rFonts w:ascii="Cambria Math" w:hAnsi="Cambria Math"/>
                <w:bCs/>
                <w:i/>
                <w:sz w:val="24"/>
              </w:rPr>
            </m:ctrlPr>
          </m:barPr>
          <m:e>
            <m:sSub>
              <m:sSubPr>
                <m:ctrlPr>
                  <w:rPr>
                    <w:rFonts w:ascii="Cambria Math" w:hAnsi="Cambria Math"/>
                    <w:bCs/>
                    <w:i/>
                    <w:sz w:val="24"/>
                  </w:rPr>
                </m:ctrlPr>
              </m:sSubPr>
              <m:e>
                <m:r>
                  <m:rPr/>
                  <w:rPr>
                    <w:rFonts w:ascii="Cambria Math" w:hAnsi="Cambria Math"/>
                    <w:sz w:val="24"/>
                  </w:rPr>
                  <m:t>D</m:t>
                </m:r>
                <m:ctrlPr>
                  <w:rPr>
                    <w:rFonts w:ascii="Cambria Math" w:hAnsi="Cambria Math"/>
                    <w:bCs/>
                    <w:i/>
                    <w:sz w:val="24"/>
                  </w:rPr>
                </m:ctrlPr>
              </m:e>
              <m:sub>
                <m:r>
                  <m:rPr/>
                  <w:rPr>
                    <w:rFonts w:ascii="Cambria Math" w:hAnsi="Cambria Math"/>
                    <w:sz w:val="24"/>
                  </w:rPr>
                  <m:t>50</m:t>
                </m:r>
                <m:ctrlPr>
                  <w:rPr>
                    <w:rFonts w:ascii="Cambria Math" w:hAnsi="Cambria Math"/>
                    <w:bCs/>
                    <w:i/>
                    <w:sz w:val="24"/>
                  </w:rPr>
                </m:ctrlPr>
              </m:sub>
            </m:sSub>
            <m:ctrlPr>
              <w:rPr>
                <w:rFonts w:ascii="Cambria Math" w:hAnsi="Cambria Math"/>
                <w:bCs/>
                <w:i/>
                <w:sz w:val="24"/>
              </w:rPr>
            </m:ctrlPr>
          </m:e>
        </m:bar>
      </m:oMath>
      <w:r>
        <w:rPr>
          <w:rFonts w:ascii="宋体" w:cs="宋体" w:hAnsiTheme="minorHAnsi"/>
          <w:b/>
          <w:bCs/>
          <w:sz w:val="24"/>
        </w:rPr>
        <w:t>)</w:t>
      </w:r>
      <w:r>
        <w:rPr>
          <w:rFonts w:hint="eastAsia" w:ascii="宋体" w:cs="宋体" w:hAnsiTheme="minorHAnsi"/>
          <w:kern w:val="0"/>
          <w:sz w:val="24"/>
        </w:rPr>
        <w:t>。</w:t>
      </w:r>
    </w:p>
    <w:p w14:paraId="01776F83">
      <w:pPr>
        <w:spacing w:line="360" w:lineRule="auto"/>
        <w:jc w:val="left"/>
        <w:rPr>
          <w:rFonts w:hint="eastAsia" w:ascii="Calibri" w:hAnsi="Calibri" w:cs="Calibri"/>
          <w:kern w:val="0"/>
          <w:sz w:val="24"/>
        </w:rPr>
      </w:pPr>
      <w:r>
        <w:rPr>
          <w:rFonts w:ascii="Calibri" w:hAnsi="Calibri" w:cs="Calibri"/>
          <w:kern w:val="0"/>
          <w:sz w:val="24"/>
        </w:rPr>
        <w:t>C.2.2</w:t>
      </w:r>
      <w:r>
        <w:rPr>
          <w:rFonts w:hint="eastAsia" w:ascii="Calibri" w:hAnsi="Calibri" w:cs="Calibri"/>
          <w:kern w:val="0"/>
          <w:sz w:val="24"/>
        </w:rPr>
        <w:t>．1</w:t>
      </w:r>
    </w:p>
    <w:p w14:paraId="5BEBF759">
      <w:pPr>
        <w:spacing w:line="360" w:lineRule="auto"/>
        <w:rPr>
          <w:rFonts w:hint="eastAsia" w:ascii="宋体" w:hAnsi="宋体" w:cs="宋体"/>
          <w:sz w:val="24"/>
        </w:rPr>
      </w:pPr>
      <w:r>
        <w:rPr>
          <w:rFonts w:hint="eastAsia" w:ascii="宋体" w:hAnsi="宋体" w:cs="宋体"/>
          <w:sz w:val="24"/>
        </w:rPr>
        <w:t>测量重复性引入的不确定度</w:t>
      </w:r>
      <w:r>
        <w:rPr>
          <w:rFonts w:ascii="宋体" w:hAnsi="宋体" w:cs="宋体"/>
          <w:position w:val="-12"/>
          <w:sz w:val="24"/>
        </w:rPr>
        <w:object>
          <v:shape id="_x0000_i1027" o:spt="75" type="#_x0000_t75" style="height:19.7pt;width:33.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宋体" w:hAnsi="宋体"/>
          <w:sz w:val="24"/>
        </w:rPr>
        <w:t>：</w:t>
      </w:r>
    </w:p>
    <w:p w14:paraId="01E070EC">
      <w:pPr>
        <w:spacing w:line="360" w:lineRule="auto"/>
        <w:rPr>
          <w:rFonts w:hint="eastAsia" w:ascii="宋体" w:hAnsi="宋体" w:cs="宋体"/>
          <w:sz w:val="24"/>
        </w:rPr>
      </w:pPr>
      <w:r>
        <w:rPr>
          <w:rFonts w:hint="eastAsia" w:ascii="宋体" w:hAnsi="宋体" w:cs="宋体"/>
          <w:sz w:val="24"/>
        </w:rPr>
        <w:t>依据校准规范，重复性的相对标准偏差不大于3%，由于测量结果为3次平均值，对于粒径为17.98</w:t>
      </w:r>
      <w:r>
        <w:rPr>
          <w:rFonts w:hint="eastAsia"/>
          <w:sz w:val="24"/>
        </w:rPr>
        <w:t>μ</w:t>
      </w:r>
      <w:r>
        <w:rPr>
          <w:sz w:val="24"/>
        </w:rPr>
        <w:t>m</w:t>
      </w:r>
      <w:r>
        <w:rPr>
          <w:rFonts w:hint="eastAsia" w:ascii="宋体" w:hAnsi="宋体" w:cs="宋体"/>
          <w:sz w:val="24"/>
        </w:rPr>
        <w:t>的标准物质的测量结果有：</w:t>
      </w:r>
    </w:p>
    <w:p w14:paraId="1615159F">
      <w:pPr>
        <w:spacing w:line="360" w:lineRule="auto"/>
        <w:rPr>
          <w:rFonts w:hint="eastAsia"/>
          <w:sz w:val="24"/>
        </w:rPr>
      </w:pPr>
      <w:r>
        <w:rPr>
          <w:rFonts w:hint="eastAsia" w:ascii="宋体" w:hAnsi="宋体" w:cs="宋体"/>
          <w:sz w:val="24"/>
        </w:rPr>
        <w:t>重复性引入的标准不确定度为：</w:t>
      </w:r>
      <w:r>
        <w:rPr>
          <w:rFonts w:ascii="宋体" w:hAnsi="宋体" w:cs="宋体"/>
          <w:position w:val="-30"/>
          <w:sz w:val="24"/>
        </w:rPr>
        <w:object>
          <v:shape id="_x0000_i1028" o:spt="75" type="#_x0000_t75" style="height:35.3pt;width:148.1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宋体" w:hAnsi="宋体" w:cs="宋体"/>
          <w:sz w:val="24"/>
        </w:rPr>
        <w:t>0.312</w:t>
      </w:r>
      <w:r>
        <w:rPr>
          <w:rFonts w:hint="eastAsia"/>
          <w:sz w:val="24"/>
        </w:rPr>
        <w:t>μ</w:t>
      </w:r>
      <w:r>
        <w:rPr>
          <w:sz w:val="24"/>
        </w:rPr>
        <w:t>m</w:t>
      </w:r>
    </w:p>
    <w:p w14:paraId="3D3067AC">
      <w:pPr>
        <w:spacing w:line="360" w:lineRule="auto"/>
        <w:jc w:val="left"/>
        <w:rPr>
          <w:rFonts w:hint="eastAsia" w:ascii="Calibri" w:hAnsi="Calibri" w:cs="Calibri"/>
          <w:kern w:val="0"/>
          <w:sz w:val="24"/>
        </w:rPr>
      </w:pPr>
      <w:r>
        <w:rPr>
          <w:rFonts w:ascii="Calibri" w:hAnsi="Calibri" w:cs="Calibri"/>
          <w:kern w:val="0"/>
          <w:sz w:val="24"/>
        </w:rPr>
        <w:t>C.2.2</w:t>
      </w:r>
      <w:r>
        <w:rPr>
          <w:rFonts w:hint="eastAsia" w:ascii="Calibri" w:hAnsi="Calibri" w:cs="Calibri"/>
          <w:kern w:val="0"/>
          <w:sz w:val="24"/>
        </w:rPr>
        <w:t>．2</w:t>
      </w:r>
    </w:p>
    <w:p w14:paraId="5F30B334">
      <w:pPr>
        <w:spacing w:line="360" w:lineRule="auto"/>
        <w:rPr>
          <w:rFonts w:hint="eastAsia" w:ascii="宋体" w:hAnsi="宋体" w:cs="宋体"/>
          <w:sz w:val="24"/>
        </w:rPr>
      </w:pPr>
      <w:r>
        <w:rPr>
          <w:rFonts w:hint="eastAsia" w:ascii="宋体" w:hAnsi="宋体" w:cs="宋体"/>
          <w:sz w:val="24"/>
        </w:rPr>
        <w:t>示值误差引入的不确定度</w:t>
      </w:r>
      <w:r>
        <w:rPr>
          <w:rFonts w:ascii="宋体" w:hAnsi="宋体" w:cs="宋体"/>
          <w:position w:val="-12"/>
          <w:sz w:val="24"/>
        </w:rPr>
        <w:object>
          <v:shape id="_x0000_i1029" o:spt="75" type="#_x0000_t75" style="height:18.35pt;width:42.1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宋体" w:hAnsi="宋体"/>
          <w:sz w:val="24"/>
        </w:rPr>
        <w:t>：</w:t>
      </w:r>
    </w:p>
    <w:p w14:paraId="2049281C">
      <w:pPr>
        <w:spacing w:line="360" w:lineRule="auto"/>
        <w:rPr>
          <w:rFonts w:hint="eastAsia" w:ascii="宋体" w:hAnsi="宋体" w:cs="宋体"/>
          <w:sz w:val="24"/>
        </w:rPr>
      </w:pPr>
      <w:r>
        <w:rPr>
          <w:rFonts w:hint="eastAsia" w:ascii="宋体" w:hAnsi="宋体" w:cs="宋体"/>
          <w:sz w:val="24"/>
        </w:rPr>
        <w:t>根据标准物质证书，有</w:t>
      </w:r>
    </w:p>
    <w:p w14:paraId="348263F7">
      <w:pPr>
        <w:spacing w:line="360" w:lineRule="auto"/>
        <w:rPr>
          <w:rFonts w:hint="eastAsia" w:ascii="宋体" w:hAnsi="宋体" w:cs="宋体"/>
          <w:sz w:val="24"/>
        </w:rPr>
      </w:pPr>
      <w:r>
        <w:rPr>
          <w:rFonts w:hint="eastAsia" w:ascii="宋体" w:hAnsi="宋体" w:cs="宋体"/>
          <w:sz w:val="24"/>
        </w:rPr>
        <w:t>示值误差引入的标准不确定度为：</w:t>
      </w:r>
      <w:r>
        <w:rPr>
          <w:rFonts w:ascii="宋体" w:hAnsi="宋体" w:cs="宋体"/>
          <w:position w:val="-10"/>
          <w:sz w:val="24"/>
        </w:rPr>
        <w:object>
          <v:shape id="_x0000_i1030" o:spt="75" type="#_x0000_t75" style="height:18.35pt;width:52.3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ascii="宋体" w:hAnsi="宋体" w:cs="宋体"/>
          <w:sz w:val="24"/>
        </w:rPr>
        <w:t>0.28</w:t>
      </w:r>
      <w:r>
        <w:rPr>
          <w:rFonts w:hint="eastAsia"/>
          <w:sz w:val="24"/>
        </w:rPr>
        <w:t>μ</w:t>
      </w:r>
      <w:r>
        <w:rPr>
          <w:sz w:val="24"/>
        </w:rPr>
        <w:t>m</w:t>
      </w:r>
      <w:r>
        <w:rPr>
          <w:rFonts w:hint="eastAsia"/>
          <w:sz w:val="24"/>
        </w:rPr>
        <w:t>/2=0.14μ</w:t>
      </w:r>
      <w:r>
        <w:rPr>
          <w:sz w:val="24"/>
        </w:rPr>
        <w:t>m</w:t>
      </w:r>
    </w:p>
    <w:p w14:paraId="1EDD082C">
      <w:pPr>
        <w:spacing w:line="360" w:lineRule="auto"/>
        <w:jc w:val="left"/>
        <w:rPr>
          <w:rFonts w:hint="eastAsia" w:ascii="Calibri" w:hAnsi="Calibri" w:cs="Calibri"/>
          <w:kern w:val="0"/>
          <w:sz w:val="24"/>
        </w:rPr>
      </w:pPr>
      <w:r>
        <w:rPr>
          <w:rFonts w:ascii="Calibri" w:hAnsi="Calibri" w:cs="Calibri"/>
          <w:kern w:val="0"/>
          <w:sz w:val="24"/>
        </w:rPr>
        <w:t>C. 2.2</w:t>
      </w:r>
      <w:r>
        <w:rPr>
          <w:rFonts w:hint="eastAsia" w:ascii="Calibri" w:hAnsi="Calibri" w:cs="Calibri"/>
          <w:kern w:val="0"/>
          <w:sz w:val="24"/>
        </w:rPr>
        <w:t>． 3</w:t>
      </w:r>
    </w:p>
    <w:p w14:paraId="0FFC6512">
      <w:pPr>
        <w:spacing w:line="360" w:lineRule="auto"/>
        <w:jc w:val="left"/>
        <w:outlineLvl w:val="0"/>
        <w:rPr>
          <w:rFonts w:hint="eastAsia" w:ascii="宋体" w:hAnsi="宋体" w:cs="宋体"/>
          <w:b/>
          <w:sz w:val="24"/>
        </w:rPr>
      </w:pPr>
      <w:r>
        <w:rPr>
          <w:rFonts w:hint="eastAsia" w:ascii="宋体" w:hAnsi="宋体" w:cs="宋体"/>
          <w:b/>
          <w:sz w:val="24"/>
        </w:rPr>
        <w:t>标准不确定度汇总表</w:t>
      </w:r>
    </w:p>
    <w:tbl>
      <w:tblPr>
        <w:tblStyle w:val="89"/>
        <w:tblW w:w="8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1416"/>
        <w:gridCol w:w="1405"/>
        <w:gridCol w:w="1006"/>
        <w:gridCol w:w="1309"/>
        <w:gridCol w:w="1759"/>
      </w:tblGrid>
      <w:tr w14:paraId="5962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pct"/>
            <w:vAlign w:val="center"/>
          </w:tcPr>
          <w:p w14:paraId="63F85709">
            <w:pPr>
              <w:spacing w:line="360" w:lineRule="auto"/>
              <w:jc w:val="center"/>
              <w:outlineLvl w:val="0"/>
              <w:rPr>
                <w:rFonts w:hint="eastAsia"/>
                <w:sz w:val="24"/>
              </w:rPr>
            </w:pPr>
            <w:r>
              <w:rPr>
                <w:rFonts w:hint="eastAsia"/>
                <w:sz w:val="24"/>
              </w:rPr>
              <w:t>不确定度来源</w:t>
            </w:r>
            <w:r>
              <w:rPr>
                <w:position w:val="-12"/>
                <w:sz w:val="24"/>
              </w:rPr>
              <w:object>
                <v:shape id="_x0000_i1031" o:spt="75" type="#_x0000_t75" style="height:18.35pt;width:19.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p>
        </w:tc>
        <w:tc>
          <w:tcPr>
            <w:tcW w:w="841" w:type="pct"/>
            <w:vAlign w:val="center"/>
          </w:tcPr>
          <w:p w14:paraId="5609E431">
            <w:pPr>
              <w:spacing w:line="360" w:lineRule="auto"/>
              <w:jc w:val="center"/>
              <w:outlineLvl w:val="0"/>
              <w:rPr>
                <w:rFonts w:hint="eastAsia"/>
                <w:sz w:val="24"/>
              </w:rPr>
            </w:pPr>
            <w:r>
              <w:rPr>
                <w:rFonts w:hint="eastAsia"/>
                <w:sz w:val="24"/>
              </w:rPr>
              <w:t>符号</w:t>
            </w:r>
          </w:p>
        </w:tc>
        <w:tc>
          <w:tcPr>
            <w:tcW w:w="834" w:type="pct"/>
            <w:vAlign w:val="center"/>
          </w:tcPr>
          <w:p w14:paraId="2952D9D4">
            <w:pPr>
              <w:spacing w:line="360" w:lineRule="auto"/>
              <w:jc w:val="center"/>
              <w:outlineLvl w:val="0"/>
              <w:rPr>
                <w:rFonts w:hint="eastAsia"/>
                <w:sz w:val="24"/>
              </w:rPr>
            </w:pPr>
            <w:r>
              <w:rPr>
                <w:rFonts w:hint="eastAsia"/>
                <w:sz w:val="24"/>
              </w:rPr>
              <w:t>标准不确定度</w:t>
            </w:r>
            <w:r>
              <w:rPr>
                <w:position w:val="-12"/>
                <w:sz w:val="24"/>
              </w:rPr>
              <w:object>
                <v:shape id="_x0000_i1032" o:spt="75" type="#_x0000_t75" style="height:18.35pt;width:27.1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hint="eastAsia"/>
                <w:sz w:val="24"/>
              </w:rPr>
              <w:t>/μ</w:t>
            </w:r>
            <w:r>
              <w:rPr>
                <w:sz w:val="24"/>
              </w:rPr>
              <w:t>m</w:t>
            </w:r>
          </w:p>
        </w:tc>
        <w:tc>
          <w:tcPr>
            <w:tcW w:w="597" w:type="pct"/>
            <w:vAlign w:val="center"/>
          </w:tcPr>
          <w:p w14:paraId="48A84C7E">
            <w:pPr>
              <w:spacing w:line="360" w:lineRule="auto"/>
              <w:jc w:val="center"/>
              <w:outlineLvl w:val="0"/>
              <w:rPr>
                <w:rFonts w:hint="eastAsia"/>
                <w:sz w:val="24"/>
              </w:rPr>
            </w:pPr>
            <w:r>
              <w:rPr>
                <w:rFonts w:hint="eastAsia"/>
                <w:sz w:val="24"/>
              </w:rPr>
              <w:t>概率分布</w:t>
            </w:r>
          </w:p>
        </w:tc>
        <w:tc>
          <w:tcPr>
            <w:tcW w:w="777" w:type="pct"/>
            <w:vAlign w:val="center"/>
          </w:tcPr>
          <w:p w14:paraId="5943DBFC">
            <w:pPr>
              <w:spacing w:line="360" w:lineRule="auto"/>
              <w:jc w:val="center"/>
              <w:outlineLvl w:val="0"/>
              <w:rPr>
                <w:rFonts w:hint="eastAsia"/>
                <w:sz w:val="24"/>
              </w:rPr>
            </w:pPr>
            <w:r>
              <w:rPr>
                <w:rFonts w:hint="eastAsia"/>
                <w:sz w:val="24"/>
              </w:rPr>
              <w:t>灵敏系数</w:t>
            </w:r>
            <w:r>
              <w:rPr>
                <w:position w:val="-12"/>
                <w:sz w:val="24"/>
              </w:rPr>
              <w:object>
                <v:shape id="_x0000_i1033" o:spt="75" type="#_x0000_t75" style="height:18.35pt;width:10.8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p>
        </w:tc>
        <w:tc>
          <w:tcPr>
            <w:tcW w:w="1044" w:type="pct"/>
            <w:vAlign w:val="center"/>
          </w:tcPr>
          <w:p w14:paraId="4A0A1344">
            <w:pPr>
              <w:spacing w:line="360" w:lineRule="auto"/>
              <w:jc w:val="center"/>
              <w:outlineLvl w:val="0"/>
              <w:rPr>
                <w:rFonts w:hint="eastAsia"/>
                <w:sz w:val="24"/>
              </w:rPr>
            </w:pPr>
            <w:r>
              <w:rPr>
                <w:rFonts w:hint="eastAsia"/>
                <w:sz w:val="24"/>
              </w:rPr>
              <w:t>不确定度分量</w:t>
            </w:r>
            <w:r>
              <w:rPr>
                <w:position w:val="-10"/>
                <w:sz w:val="24"/>
              </w:rPr>
              <w:object>
                <v:shape id="_x0000_i1034" o:spt="75" type="#_x0000_t75" style="height:17pt;width:27.8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rFonts w:hint="eastAsia"/>
                <w:sz w:val="24"/>
              </w:rPr>
              <w:t>/μ</w:t>
            </w:r>
            <w:r>
              <w:rPr>
                <w:sz w:val="24"/>
              </w:rPr>
              <w:t>m</w:t>
            </w:r>
          </w:p>
        </w:tc>
      </w:tr>
      <w:tr w14:paraId="7C6D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pct"/>
            <w:vAlign w:val="center"/>
          </w:tcPr>
          <w:p w14:paraId="1226E997">
            <w:pPr>
              <w:spacing w:line="360" w:lineRule="auto"/>
              <w:jc w:val="center"/>
              <w:outlineLvl w:val="0"/>
              <w:rPr>
                <w:rFonts w:hint="eastAsia"/>
                <w:sz w:val="24"/>
              </w:rPr>
            </w:pPr>
            <w:r>
              <w:rPr>
                <w:rFonts w:hint="eastAsia"/>
                <w:sz w:val="24"/>
              </w:rPr>
              <w:t>测量重复性</w:t>
            </w:r>
          </w:p>
        </w:tc>
        <w:tc>
          <w:tcPr>
            <w:tcW w:w="841" w:type="pct"/>
            <w:vAlign w:val="center"/>
          </w:tcPr>
          <w:p w14:paraId="267BF0A4">
            <w:pPr>
              <w:spacing w:line="360" w:lineRule="auto"/>
              <w:jc w:val="center"/>
              <w:outlineLvl w:val="0"/>
              <w:rPr>
                <w:rFonts w:asciiTheme="majorHAnsi" w:hAnsiTheme="majorHAnsi"/>
                <w:sz w:val="44"/>
                <w:szCs w:val="44"/>
              </w:rPr>
            </w:pPr>
            <w:r>
              <w:rPr>
                <w:rFonts w:cs="宋体" w:asciiTheme="majorHAnsi" w:hAnsiTheme="majorHAnsi"/>
                <w:position w:val="-12"/>
                <w:sz w:val="44"/>
                <w:szCs w:val="44"/>
              </w:rPr>
              <w:object>
                <v:shape id="_x0000_i1035" o:spt="75" type="#_x0000_t75" style="height:23.75pt;width:42.1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p>
        </w:tc>
        <w:tc>
          <w:tcPr>
            <w:tcW w:w="834" w:type="pct"/>
            <w:vAlign w:val="center"/>
          </w:tcPr>
          <w:p w14:paraId="3FDE9938">
            <w:pPr>
              <w:spacing w:line="360" w:lineRule="auto"/>
              <w:jc w:val="center"/>
              <w:outlineLvl w:val="0"/>
              <w:rPr>
                <w:rFonts w:hint="eastAsia"/>
                <w:sz w:val="24"/>
              </w:rPr>
            </w:pPr>
            <w:r>
              <w:rPr>
                <w:rFonts w:hint="eastAsia"/>
                <w:sz w:val="24"/>
              </w:rPr>
              <w:t>0.312</w:t>
            </w:r>
          </w:p>
        </w:tc>
        <w:tc>
          <w:tcPr>
            <w:tcW w:w="597" w:type="pct"/>
            <w:vAlign w:val="center"/>
          </w:tcPr>
          <w:p w14:paraId="6B2B715C">
            <w:pPr>
              <w:spacing w:line="360" w:lineRule="auto"/>
              <w:jc w:val="center"/>
              <w:outlineLvl w:val="0"/>
              <w:rPr>
                <w:rFonts w:hint="eastAsia"/>
                <w:sz w:val="24"/>
              </w:rPr>
            </w:pPr>
            <w:r>
              <w:rPr>
                <w:rFonts w:hint="eastAsia"/>
                <w:sz w:val="24"/>
              </w:rPr>
              <w:t>正态</w:t>
            </w:r>
          </w:p>
        </w:tc>
        <w:tc>
          <w:tcPr>
            <w:tcW w:w="777" w:type="pct"/>
            <w:vAlign w:val="center"/>
          </w:tcPr>
          <w:p w14:paraId="1D120D3A">
            <w:pPr>
              <w:spacing w:line="360" w:lineRule="auto"/>
              <w:jc w:val="center"/>
              <w:outlineLvl w:val="0"/>
              <w:rPr>
                <w:rFonts w:hint="eastAsia"/>
                <w:sz w:val="24"/>
              </w:rPr>
            </w:pPr>
            <w:r>
              <w:rPr>
                <w:rFonts w:hint="eastAsia"/>
                <w:sz w:val="24"/>
              </w:rPr>
              <w:t>1</w:t>
            </w:r>
          </w:p>
        </w:tc>
        <w:tc>
          <w:tcPr>
            <w:tcW w:w="1044" w:type="pct"/>
            <w:vAlign w:val="center"/>
          </w:tcPr>
          <w:p w14:paraId="55FD32DD">
            <w:pPr>
              <w:spacing w:line="360" w:lineRule="auto"/>
              <w:jc w:val="center"/>
              <w:outlineLvl w:val="0"/>
              <w:rPr>
                <w:rFonts w:hint="eastAsia"/>
                <w:sz w:val="24"/>
              </w:rPr>
            </w:pPr>
            <w:r>
              <w:rPr>
                <w:rFonts w:hint="eastAsia"/>
                <w:sz w:val="24"/>
              </w:rPr>
              <w:t>0.312</w:t>
            </w:r>
          </w:p>
        </w:tc>
      </w:tr>
      <w:tr w14:paraId="4ECB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pct"/>
            <w:vAlign w:val="center"/>
          </w:tcPr>
          <w:p w14:paraId="5CC08241">
            <w:pPr>
              <w:spacing w:line="360" w:lineRule="auto"/>
              <w:jc w:val="center"/>
              <w:outlineLvl w:val="0"/>
              <w:rPr>
                <w:rFonts w:hint="eastAsia"/>
                <w:sz w:val="24"/>
              </w:rPr>
            </w:pPr>
            <w:r>
              <w:rPr>
                <w:rFonts w:hint="eastAsia"/>
                <w:sz w:val="24"/>
              </w:rPr>
              <w:t>示值误差</w:t>
            </w:r>
          </w:p>
        </w:tc>
        <w:tc>
          <w:tcPr>
            <w:tcW w:w="841" w:type="pct"/>
            <w:vAlign w:val="center"/>
          </w:tcPr>
          <w:p w14:paraId="0EBB2983">
            <w:pPr>
              <w:spacing w:line="360" w:lineRule="auto"/>
              <w:jc w:val="center"/>
              <w:outlineLvl w:val="0"/>
              <w:rPr>
                <w:rFonts w:asciiTheme="majorHAnsi" w:hAnsiTheme="majorHAnsi"/>
                <w:sz w:val="44"/>
                <w:szCs w:val="44"/>
              </w:rPr>
            </w:pPr>
            <w:r>
              <w:rPr>
                <w:rFonts w:cs="宋体" w:asciiTheme="majorHAnsi" w:hAnsiTheme="majorHAnsi"/>
                <w:position w:val="-12"/>
                <w:sz w:val="44"/>
                <w:szCs w:val="44"/>
              </w:rPr>
              <w:object>
                <v:shape id="_x0000_i1036" o:spt="75" type="#_x0000_t75" style="height:23.75pt;width:59.75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p>
        </w:tc>
        <w:tc>
          <w:tcPr>
            <w:tcW w:w="834" w:type="pct"/>
            <w:vAlign w:val="center"/>
          </w:tcPr>
          <w:p w14:paraId="0619630D">
            <w:pPr>
              <w:spacing w:line="360" w:lineRule="auto"/>
              <w:jc w:val="center"/>
              <w:outlineLvl w:val="0"/>
              <w:rPr>
                <w:rFonts w:hint="eastAsia"/>
                <w:sz w:val="24"/>
              </w:rPr>
            </w:pPr>
            <w:r>
              <w:rPr>
                <w:rFonts w:hint="eastAsia"/>
                <w:sz w:val="24"/>
              </w:rPr>
              <w:t>0.14</w:t>
            </w:r>
          </w:p>
        </w:tc>
        <w:tc>
          <w:tcPr>
            <w:tcW w:w="597" w:type="pct"/>
            <w:vAlign w:val="center"/>
          </w:tcPr>
          <w:p w14:paraId="2AE885A3">
            <w:pPr>
              <w:spacing w:line="360" w:lineRule="auto"/>
              <w:jc w:val="center"/>
              <w:outlineLvl w:val="0"/>
              <w:rPr>
                <w:rFonts w:hint="eastAsia"/>
                <w:sz w:val="24"/>
              </w:rPr>
            </w:pPr>
            <w:r>
              <w:rPr>
                <w:rFonts w:hint="eastAsia"/>
                <w:sz w:val="24"/>
              </w:rPr>
              <w:t>正态</w:t>
            </w:r>
          </w:p>
        </w:tc>
        <w:tc>
          <w:tcPr>
            <w:tcW w:w="777" w:type="pct"/>
            <w:vAlign w:val="center"/>
          </w:tcPr>
          <w:p w14:paraId="44536E92">
            <w:pPr>
              <w:spacing w:line="360" w:lineRule="auto"/>
              <w:jc w:val="center"/>
              <w:outlineLvl w:val="0"/>
              <w:rPr>
                <w:rFonts w:hint="eastAsia"/>
                <w:sz w:val="24"/>
              </w:rPr>
            </w:pPr>
            <w:r>
              <w:rPr>
                <w:rFonts w:hint="eastAsia"/>
                <w:sz w:val="24"/>
              </w:rPr>
              <w:t>1</w:t>
            </w:r>
          </w:p>
        </w:tc>
        <w:tc>
          <w:tcPr>
            <w:tcW w:w="1044" w:type="pct"/>
            <w:vAlign w:val="center"/>
          </w:tcPr>
          <w:p w14:paraId="27D53CD7">
            <w:pPr>
              <w:spacing w:line="360" w:lineRule="auto"/>
              <w:jc w:val="center"/>
              <w:outlineLvl w:val="0"/>
              <w:rPr>
                <w:rFonts w:hint="eastAsia"/>
                <w:sz w:val="24"/>
              </w:rPr>
            </w:pPr>
            <w:r>
              <w:rPr>
                <w:rFonts w:hint="eastAsia"/>
                <w:sz w:val="24"/>
              </w:rPr>
              <w:t>0.14</w:t>
            </w:r>
          </w:p>
        </w:tc>
      </w:tr>
    </w:tbl>
    <w:p w14:paraId="2E6BF2E2">
      <w:pPr>
        <w:spacing w:line="360" w:lineRule="auto"/>
        <w:jc w:val="left"/>
        <w:rPr>
          <w:rFonts w:hint="eastAsia" w:ascii="Calibri" w:hAnsi="Calibri" w:cs="Calibri"/>
          <w:kern w:val="0"/>
          <w:sz w:val="24"/>
        </w:rPr>
      </w:pPr>
      <w:r>
        <w:rPr>
          <w:rFonts w:ascii="Calibri" w:hAnsi="Calibri" w:cs="Calibri"/>
          <w:kern w:val="0"/>
          <w:sz w:val="24"/>
        </w:rPr>
        <w:t>C. 2.2</w:t>
      </w:r>
      <w:r>
        <w:rPr>
          <w:rFonts w:hint="eastAsia" w:ascii="Calibri" w:hAnsi="Calibri" w:cs="Calibri"/>
          <w:kern w:val="0"/>
          <w:sz w:val="24"/>
        </w:rPr>
        <w:t>． 4</w:t>
      </w:r>
    </w:p>
    <w:p w14:paraId="01854983">
      <w:pPr>
        <w:spacing w:line="360" w:lineRule="auto"/>
        <w:jc w:val="left"/>
        <w:outlineLvl w:val="0"/>
        <w:rPr>
          <w:rFonts w:hint="eastAsia"/>
          <w:b/>
          <w:sz w:val="24"/>
        </w:rPr>
      </w:pPr>
      <w:r>
        <w:rPr>
          <w:rFonts w:hint="eastAsia"/>
          <w:b/>
          <w:sz w:val="24"/>
        </w:rPr>
        <w:t>合成标准不确定度的评定</w:t>
      </w:r>
    </w:p>
    <w:p w14:paraId="423E4212">
      <w:pPr>
        <w:spacing w:line="360" w:lineRule="auto"/>
        <w:jc w:val="left"/>
        <w:outlineLvl w:val="0"/>
        <w:rPr>
          <w:rFonts w:hint="eastAsia"/>
          <w:sz w:val="24"/>
        </w:rPr>
      </w:pPr>
      <w:r>
        <w:rPr>
          <w:position w:val="-12"/>
          <w:sz w:val="24"/>
        </w:rPr>
        <w:object>
          <v:shape id="_x0000_i1037" o:spt="75" type="#_x0000_t75" style="height:19pt;width:50.25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rFonts w:hint="eastAsia"/>
          <w:sz w:val="24"/>
        </w:rPr>
        <w:t>0.342μ</w:t>
      </w:r>
      <w:r>
        <w:rPr>
          <w:sz w:val="24"/>
        </w:rPr>
        <w:t>m</w:t>
      </w:r>
    </w:p>
    <w:p w14:paraId="6975C7A2">
      <w:pPr>
        <w:spacing w:line="360" w:lineRule="auto"/>
        <w:jc w:val="left"/>
        <w:rPr>
          <w:rFonts w:hint="eastAsia" w:ascii="Calibri" w:hAnsi="Calibri" w:cs="Calibri"/>
          <w:kern w:val="0"/>
          <w:sz w:val="24"/>
        </w:rPr>
      </w:pPr>
      <w:r>
        <w:rPr>
          <w:rFonts w:ascii="Calibri" w:hAnsi="Calibri" w:cs="Calibri"/>
          <w:kern w:val="0"/>
          <w:sz w:val="24"/>
        </w:rPr>
        <w:t>C. 2.2</w:t>
      </w:r>
      <w:r>
        <w:rPr>
          <w:rFonts w:hint="eastAsia" w:ascii="Calibri" w:hAnsi="Calibri" w:cs="Calibri"/>
          <w:kern w:val="0"/>
          <w:sz w:val="24"/>
        </w:rPr>
        <w:t>． 5</w:t>
      </w:r>
    </w:p>
    <w:p w14:paraId="376B91BF">
      <w:pPr>
        <w:spacing w:line="360" w:lineRule="auto"/>
        <w:jc w:val="left"/>
        <w:outlineLvl w:val="0"/>
        <w:rPr>
          <w:rFonts w:hint="eastAsia"/>
          <w:b/>
          <w:sz w:val="24"/>
        </w:rPr>
      </w:pPr>
      <w:r>
        <w:rPr>
          <w:rFonts w:hint="eastAsia"/>
          <w:b/>
          <w:sz w:val="24"/>
        </w:rPr>
        <w:t>扩展不确定度的确定</w:t>
      </w:r>
    </w:p>
    <w:p w14:paraId="4B1228BC">
      <w:pPr>
        <w:spacing w:line="360" w:lineRule="auto"/>
        <w:jc w:val="left"/>
        <w:rPr>
          <w:rFonts w:hint="eastAsia"/>
          <w:sz w:val="24"/>
        </w:rPr>
      </w:pPr>
      <w:r>
        <w:rPr>
          <w:rFonts w:hint="eastAsia"/>
          <w:sz w:val="24"/>
        </w:rPr>
        <w:t>因主要分量为正态分布，当</w:t>
      </w:r>
      <w:r>
        <w:rPr>
          <w:rFonts w:hint="eastAsia"/>
          <w:i/>
          <w:sz w:val="24"/>
        </w:rPr>
        <w:t>P</w:t>
      </w:r>
      <w:r>
        <w:rPr>
          <w:rFonts w:hint="eastAsia"/>
          <w:sz w:val="24"/>
        </w:rPr>
        <w:t>＝95％时，取包含因子</w:t>
      </w:r>
      <w:r>
        <w:rPr>
          <w:rFonts w:hint="eastAsia"/>
          <w:i/>
          <w:sz w:val="24"/>
        </w:rPr>
        <w:t>k</w:t>
      </w:r>
      <w:r>
        <w:rPr>
          <w:rFonts w:hint="eastAsia"/>
          <w:sz w:val="24"/>
        </w:rPr>
        <w:t>＝2，则：</w:t>
      </w:r>
    </w:p>
    <w:p w14:paraId="4A2728FC">
      <w:pPr>
        <w:spacing w:line="360" w:lineRule="auto"/>
        <w:jc w:val="left"/>
        <w:rPr>
          <w:rFonts w:hint="eastAsia"/>
          <w:sz w:val="24"/>
        </w:rPr>
      </w:pPr>
      <w:r>
        <w:rPr>
          <w:position w:val="-12"/>
          <w:sz w:val="24"/>
        </w:rPr>
        <w:object>
          <v:shape id="_x0000_i1038" o:spt="75" type="#_x0000_t75" style="height:18.35pt;width:76.7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rFonts w:hint="eastAsia"/>
          <w:sz w:val="24"/>
        </w:rPr>
        <w:t>0.69μ</w:t>
      </w:r>
      <w:r>
        <w:rPr>
          <w:sz w:val="24"/>
        </w:rPr>
        <w:t>m</w:t>
      </w:r>
    </w:p>
    <w:p w14:paraId="699ABDED">
      <w:pPr>
        <w:spacing w:line="360" w:lineRule="auto"/>
        <w:jc w:val="left"/>
        <w:rPr>
          <w:rFonts w:hint="eastAsia"/>
          <w:sz w:val="24"/>
        </w:rPr>
      </w:pPr>
    </w:p>
    <w:p w14:paraId="6F265023">
      <w:pPr>
        <w:spacing w:line="360" w:lineRule="auto"/>
        <w:jc w:val="left"/>
        <w:rPr>
          <w:rFonts w:hint="eastAsia"/>
          <w:sz w:val="24"/>
        </w:rPr>
      </w:pPr>
    </w:p>
    <w:p w14:paraId="3AB3FA1F">
      <w:pPr>
        <w:spacing w:line="360" w:lineRule="auto"/>
        <w:jc w:val="left"/>
        <w:rPr>
          <w:rFonts w:hint="eastAsia"/>
          <w:sz w:val="24"/>
        </w:rPr>
      </w:pPr>
    </w:p>
    <w:p w14:paraId="504C9041">
      <w:pPr>
        <w:spacing w:line="360" w:lineRule="auto"/>
        <w:jc w:val="left"/>
        <w:rPr>
          <w:rFonts w:hint="eastAsia" w:ascii="Calibri" w:hAnsi="Calibri" w:cs="Calibri"/>
          <w:kern w:val="0"/>
          <w:sz w:val="24"/>
        </w:rPr>
      </w:pPr>
      <w:r>
        <w:rPr>
          <w:rFonts w:ascii="Calibri" w:hAnsi="Calibri" w:cs="Calibri"/>
          <w:kern w:val="0"/>
          <w:sz w:val="24"/>
        </w:rPr>
        <w:t>C. 2.2</w:t>
      </w:r>
      <w:r>
        <w:rPr>
          <w:rFonts w:hint="eastAsia" w:ascii="Calibri" w:hAnsi="Calibri" w:cs="Calibri"/>
          <w:kern w:val="0"/>
          <w:sz w:val="24"/>
        </w:rPr>
        <w:t>． 6</w:t>
      </w:r>
    </w:p>
    <w:p w14:paraId="3C7BC7A3">
      <w:pPr>
        <w:spacing w:line="360" w:lineRule="auto"/>
        <w:jc w:val="left"/>
        <w:rPr>
          <w:rFonts w:hint="eastAsia" w:ascii="宋体" w:hAnsi="宋体"/>
          <w:b/>
          <w:sz w:val="24"/>
        </w:rPr>
      </w:pPr>
      <w:r>
        <w:rPr>
          <w:rFonts w:hint="eastAsia" w:ascii="宋体" w:hAnsi="宋体"/>
          <w:b/>
          <w:sz w:val="24"/>
        </w:rPr>
        <w:t xml:space="preserve">不同粒径的不确定度汇总表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537"/>
        <w:gridCol w:w="2352"/>
        <w:gridCol w:w="1763"/>
        <w:gridCol w:w="1645"/>
      </w:tblGrid>
      <w:tr w14:paraId="54B4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D48A80">
            <w:pPr>
              <w:spacing w:line="360" w:lineRule="auto"/>
              <w:jc w:val="left"/>
              <w:outlineLvl w:val="0"/>
              <w:rPr>
                <w:rFonts w:hint="eastAsia"/>
                <w:sz w:val="24"/>
              </w:rPr>
            </w:pPr>
            <w:r>
              <w:rPr>
                <w:rFonts w:hint="eastAsia"/>
                <w:sz w:val="24"/>
              </w:rPr>
              <w:t>粒径/μ</w:t>
            </w:r>
            <w:r>
              <w:rPr>
                <w:sz w:val="24"/>
              </w:rPr>
              <w:t>m</w:t>
            </w:r>
          </w:p>
        </w:tc>
        <w:tc>
          <w:tcPr>
            <w:tcW w:w="0" w:type="auto"/>
          </w:tcPr>
          <w:p w14:paraId="400E8EDE">
            <w:pPr>
              <w:spacing w:line="360" w:lineRule="auto"/>
              <w:jc w:val="center"/>
              <w:outlineLvl w:val="0"/>
              <w:rPr>
                <w:rFonts w:hint="eastAsia"/>
                <w:sz w:val="24"/>
              </w:rPr>
            </w:pPr>
            <w:r>
              <w:rPr>
                <w:rFonts w:hint="eastAsia"/>
                <w:sz w:val="24"/>
              </w:rPr>
              <w:t>测量重复性引入的不确定度分量/μ</w:t>
            </w:r>
            <w:r>
              <w:rPr>
                <w:sz w:val="24"/>
              </w:rPr>
              <w:t>m</w:t>
            </w:r>
          </w:p>
        </w:tc>
        <w:tc>
          <w:tcPr>
            <w:tcW w:w="0" w:type="auto"/>
          </w:tcPr>
          <w:p w14:paraId="3BD54EF3">
            <w:pPr>
              <w:spacing w:line="360" w:lineRule="auto"/>
              <w:jc w:val="center"/>
              <w:outlineLvl w:val="0"/>
              <w:rPr>
                <w:rFonts w:hint="eastAsia"/>
                <w:sz w:val="24"/>
              </w:rPr>
            </w:pPr>
            <w:r>
              <w:rPr>
                <w:rFonts w:hint="eastAsia"/>
                <w:sz w:val="24"/>
              </w:rPr>
              <w:t>示值误差引入的不确定度分量/μ</w:t>
            </w:r>
            <w:r>
              <w:rPr>
                <w:sz w:val="24"/>
              </w:rPr>
              <w:t>m</w:t>
            </w:r>
          </w:p>
        </w:tc>
        <w:tc>
          <w:tcPr>
            <w:tcW w:w="0" w:type="auto"/>
          </w:tcPr>
          <w:p w14:paraId="5F25C67E">
            <w:pPr>
              <w:spacing w:line="360" w:lineRule="auto"/>
              <w:jc w:val="center"/>
              <w:outlineLvl w:val="0"/>
              <w:rPr>
                <w:rFonts w:hint="eastAsia"/>
                <w:sz w:val="24"/>
              </w:rPr>
            </w:pPr>
            <w:r>
              <w:rPr>
                <w:rFonts w:hint="eastAsia"/>
                <w:sz w:val="24"/>
              </w:rPr>
              <w:t>合成标准不确定度/μ</w:t>
            </w:r>
            <w:r>
              <w:rPr>
                <w:sz w:val="24"/>
              </w:rPr>
              <w:t>m</w:t>
            </w:r>
          </w:p>
        </w:tc>
        <w:tc>
          <w:tcPr>
            <w:tcW w:w="0" w:type="auto"/>
          </w:tcPr>
          <w:p w14:paraId="4761EB42">
            <w:pPr>
              <w:spacing w:line="360" w:lineRule="auto"/>
              <w:jc w:val="center"/>
              <w:outlineLvl w:val="0"/>
              <w:rPr>
                <w:rFonts w:hint="eastAsia"/>
                <w:sz w:val="24"/>
              </w:rPr>
            </w:pPr>
            <w:r>
              <w:rPr>
                <w:rFonts w:hint="eastAsia"/>
                <w:sz w:val="24"/>
              </w:rPr>
              <w:t>扩展不确定度/μ</w:t>
            </w:r>
            <w:r>
              <w:rPr>
                <w:sz w:val="24"/>
              </w:rPr>
              <w:t>m</w:t>
            </w:r>
          </w:p>
          <w:p w14:paraId="3C903762">
            <w:pPr>
              <w:spacing w:line="360" w:lineRule="auto"/>
              <w:jc w:val="center"/>
              <w:outlineLvl w:val="0"/>
              <w:rPr>
                <w:rFonts w:hint="eastAsia"/>
                <w:sz w:val="24"/>
              </w:rPr>
            </w:pPr>
            <w:r>
              <w:rPr>
                <w:rFonts w:hint="eastAsia"/>
                <w:sz w:val="24"/>
              </w:rPr>
              <w:t>（</w:t>
            </w:r>
            <w:r>
              <w:rPr>
                <w:rFonts w:hint="eastAsia"/>
                <w:i/>
                <w:sz w:val="24"/>
              </w:rPr>
              <w:t>k</w:t>
            </w:r>
            <w:r>
              <w:rPr>
                <w:rFonts w:hint="eastAsia"/>
                <w:sz w:val="24"/>
              </w:rPr>
              <w:t>=2）</w:t>
            </w:r>
          </w:p>
        </w:tc>
      </w:tr>
      <w:tr w14:paraId="032E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AF7A18F">
            <w:pPr>
              <w:jc w:val="center"/>
              <w:rPr>
                <w:color w:val="000000"/>
                <w:szCs w:val="21"/>
              </w:rPr>
            </w:pPr>
            <w:r>
              <w:rPr>
                <w:rFonts w:hint="eastAsia"/>
                <w:b/>
                <w:bCs/>
                <w:sz w:val="24"/>
              </w:rPr>
              <w:t>7.66</w:t>
            </w:r>
          </w:p>
        </w:tc>
        <w:tc>
          <w:tcPr>
            <w:tcW w:w="0" w:type="auto"/>
          </w:tcPr>
          <w:p w14:paraId="5C6E71E5">
            <w:pPr>
              <w:spacing w:line="360" w:lineRule="auto"/>
              <w:jc w:val="center"/>
              <w:outlineLvl w:val="0"/>
              <w:rPr>
                <w:rFonts w:hint="eastAsia"/>
                <w:sz w:val="24"/>
              </w:rPr>
            </w:pPr>
            <w:r>
              <w:rPr>
                <w:rFonts w:hint="eastAsia"/>
                <w:sz w:val="24"/>
              </w:rPr>
              <w:t>0.133</w:t>
            </w:r>
          </w:p>
        </w:tc>
        <w:tc>
          <w:tcPr>
            <w:tcW w:w="0" w:type="auto"/>
          </w:tcPr>
          <w:p w14:paraId="22971BB0">
            <w:pPr>
              <w:spacing w:line="360" w:lineRule="auto"/>
              <w:jc w:val="center"/>
              <w:outlineLvl w:val="0"/>
              <w:rPr>
                <w:rFonts w:hint="eastAsia"/>
                <w:sz w:val="24"/>
              </w:rPr>
            </w:pPr>
            <w:r>
              <w:rPr>
                <w:rFonts w:hint="eastAsia"/>
                <w:sz w:val="24"/>
              </w:rPr>
              <w:t>0.05</w:t>
            </w:r>
          </w:p>
        </w:tc>
        <w:tc>
          <w:tcPr>
            <w:tcW w:w="0" w:type="auto"/>
          </w:tcPr>
          <w:p w14:paraId="2EF20876">
            <w:pPr>
              <w:spacing w:line="360" w:lineRule="auto"/>
              <w:jc w:val="center"/>
              <w:outlineLvl w:val="0"/>
              <w:rPr>
                <w:rFonts w:hint="eastAsia"/>
                <w:sz w:val="24"/>
              </w:rPr>
            </w:pPr>
            <w:r>
              <w:rPr>
                <w:rFonts w:hint="eastAsia"/>
                <w:sz w:val="24"/>
              </w:rPr>
              <w:t>0.143</w:t>
            </w:r>
          </w:p>
        </w:tc>
        <w:tc>
          <w:tcPr>
            <w:tcW w:w="0" w:type="auto"/>
          </w:tcPr>
          <w:p w14:paraId="44FFE848">
            <w:pPr>
              <w:spacing w:line="360" w:lineRule="auto"/>
              <w:jc w:val="center"/>
              <w:outlineLvl w:val="0"/>
              <w:rPr>
                <w:rFonts w:hint="eastAsia"/>
                <w:sz w:val="24"/>
              </w:rPr>
            </w:pPr>
            <w:r>
              <w:rPr>
                <w:rFonts w:hint="eastAsia"/>
                <w:sz w:val="24"/>
              </w:rPr>
              <w:t>0.29</w:t>
            </w:r>
          </w:p>
        </w:tc>
      </w:tr>
      <w:tr w14:paraId="326C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3AD5B4F">
            <w:pPr>
              <w:jc w:val="center"/>
              <w:rPr>
                <w:color w:val="000000"/>
                <w:szCs w:val="21"/>
              </w:rPr>
            </w:pPr>
            <w:r>
              <w:rPr>
                <w:rFonts w:hint="eastAsia"/>
                <w:b/>
                <w:bCs/>
                <w:sz w:val="24"/>
              </w:rPr>
              <w:t>17.98</w:t>
            </w:r>
          </w:p>
        </w:tc>
        <w:tc>
          <w:tcPr>
            <w:tcW w:w="0" w:type="auto"/>
          </w:tcPr>
          <w:p w14:paraId="0740840E">
            <w:pPr>
              <w:spacing w:line="360" w:lineRule="auto"/>
              <w:jc w:val="center"/>
              <w:outlineLvl w:val="0"/>
              <w:rPr>
                <w:rFonts w:hint="eastAsia"/>
                <w:sz w:val="24"/>
              </w:rPr>
            </w:pPr>
            <w:r>
              <w:rPr>
                <w:rFonts w:hint="eastAsia"/>
                <w:sz w:val="24"/>
              </w:rPr>
              <w:t>0.312</w:t>
            </w:r>
          </w:p>
        </w:tc>
        <w:tc>
          <w:tcPr>
            <w:tcW w:w="0" w:type="auto"/>
          </w:tcPr>
          <w:p w14:paraId="114BF18B">
            <w:pPr>
              <w:spacing w:line="360" w:lineRule="auto"/>
              <w:jc w:val="center"/>
              <w:outlineLvl w:val="0"/>
              <w:rPr>
                <w:rFonts w:hint="eastAsia"/>
                <w:sz w:val="24"/>
              </w:rPr>
            </w:pPr>
            <w:r>
              <w:rPr>
                <w:rFonts w:hint="eastAsia"/>
                <w:sz w:val="24"/>
              </w:rPr>
              <w:t>0.14</w:t>
            </w:r>
          </w:p>
        </w:tc>
        <w:tc>
          <w:tcPr>
            <w:tcW w:w="0" w:type="auto"/>
          </w:tcPr>
          <w:p w14:paraId="0191F955">
            <w:pPr>
              <w:spacing w:line="360" w:lineRule="auto"/>
              <w:jc w:val="center"/>
              <w:outlineLvl w:val="0"/>
              <w:rPr>
                <w:rFonts w:hint="eastAsia"/>
                <w:sz w:val="24"/>
              </w:rPr>
            </w:pPr>
            <w:r>
              <w:rPr>
                <w:rFonts w:hint="eastAsia"/>
                <w:sz w:val="24"/>
              </w:rPr>
              <w:t>0.342</w:t>
            </w:r>
          </w:p>
        </w:tc>
        <w:tc>
          <w:tcPr>
            <w:tcW w:w="0" w:type="auto"/>
          </w:tcPr>
          <w:p w14:paraId="5EADA232">
            <w:pPr>
              <w:spacing w:line="360" w:lineRule="auto"/>
              <w:jc w:val="center"/>
              <w:outlineLvl w:val="0"/>
              <w:rPr>
                <w:rFonts w:hint="eastAsia"/>
                <w:sz w:val="24"/>
              </w:rPr>
            </w:pPr>
            <w:r>
              <w:rPr>
                <w:rFonts w:hint="eastAsia"/>
                <w:sz w:val="24"/>
              </w:rPr>
              <w:t>0.69</w:t>
            </w:r>
          </w:p>
        </w:tc>
      </w:tr>
      <w:tr w14:paraId="7149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00866F0">
            <w:pPr>
              <w:jc w:val="center"/>
              <w:rPr>
                <w:b/>
                <w:bCs/>
                <w:sz w:val="24"/>
              </w:rPr>
            </w:pPr>
            <w:r>
              <w:rPr>
                <w:rFonts w:hint="eastAsia"/>
                <w:b/>
                <w:bCs/>
                <w:sz w:val="24"/>
              </w:rPr>
              <w:t>29.16</w:t>
            </w:r>
          </w:p>
        </w:tc>
        <w:tc>
          <w:tcPr>
            <w:tcW w:w="0" w:type="auto"/>
          </w:tcPr>
          <w:p w14:paraId="24D7459F">
            <w:pPr>
              <w:spacing w:line="360" w:lineRule="auto"/>
              <w:jc w:val="center"/>
              <w:outlineLvl w:val="0"/>
              <w:rPr>
                <w:rFonts w:hint="eastAsia"/>
                <w:sz w:val="24"/>
              </w:rPr>
            </w:pPr>
            <w:r>
              <w:rPr>
                <w:rFonts w:hint="eastAsia"/>
                <w:sz w:val="24"/>
              </w:rPr>
              <w:t>0.506</w:t>
            </w:r>
          </w:p>
        </w:tc>
        <w:tc>
          <w:tcPr>
            <w:tcW w:w="0" w:type="auto"/>
          </w:tcPr>
          <w:p w14:paraId="7334C179">
            <w:pPr>
              <w:spacing w:line="360" w:lineRule="auto"/>
              <w:jc w:val="center"/>
              <w:outlineLvl w:val="0"/>
              <w:rPr>
                <w:rFonts w:hint="eastAsia"/>
                <w:sz w:val="24"/>
              </w:rPr>
            </w:pPr>
            <w:r>
              <w:rPr>
                <w:rFonts w:hint="eastAsia"/>
                <w:sz w:val="24"/>
              </w:rPr>
              <w:t>0.22</w:t>
            </w:r>
          </w:p>
        </w:tc>
        <w:tc>
          <w:tcPr>
            <w:tcW w:w="0" w:type="auto"/>
          </w:tcPr>
          <w:p w14:paraId="743BD284">
            <w:pPr>
              <w:spacing w:line="360" w:lineRule="auto"/>
              <w:jc w:val="center"/>
              <w:outlineLvl w:val="0"/>
              <w:rPr>
                <w:rFonts w:hint="eastAsia"/>
                <w:sz w:val="24"/>
              </w:rPr>
            </w:pPr>
            <w:r>
              <w:rPr>
                <w:rFonts w:hint="eastAsia"/>
                <w:sz w:val="24"/>
              </w:rPr>
              <w:t>0.552</w:t>
            </w:r>
          </w:p>
        </w:tc>
        <w:tc>
          <w:tcPr>
            <w:tcW w:w="0" w:type="auto"/>
          </w:tcPr>
          <w:p w14:paraId="3879C70B">
            <w:pPr>
              <w:spacing w:line="360" w:lineRule="auto"/>
              <w:jc w:val="center"/>
              <w:outlineLvl w:val="0"/>
              <w:rPr>
                <w:rFonts w:hint="eastAsia"/>
                <w:sz w:val="24"/>
              </w:rPr>
            </w:pPr>
            <w:r>
              <w:rPr>
                <w:rFonts w:hint="eastAsia"/>
                <w:sz w:val="24"/>
              </w:rPr>
              <w:t>1.12</w:t>
            </w:r>
          </w:p>
        </w:tc>
      </w:tr>
    </w:tbl>
    <w:p w14:paraId="3F1F1227">
      <w:pPr>
        <w:spacing w:line="360" w:lineRule="auto"/>
        <w:jc w:val="left"/>
        <w:rPr>
          <w:rFonts w:hint="eastAsia" w:ascii="Calibri" w:hAnsi="Calibri" w:cs="Calibri"/>
          <w:kern w:val="0"/>
          <w:sz w:val="24"/>
        </w:rPr>
      </w:pPr>
      <w:r>
        <w:rPr>
          <w:rFonts w:ascii="Calibri" w:hAnsi="Calibri" w:cs="Calibri"/>
          <w:kern w:val="0"/>
          <w:sz w:val="24"/>
        </w:rPr>
        <w:t>C. 2.2</w:t>
      </w:r>
      <w:r>
        <w:rPr>
          <w:rFonts w:hint="eastAsia" w:ascii="Calibri" w:hAnsi="Calibri" w:cs="Calibri"/>
          <w:kern w:val="0"/>
          <w:sz w:val="24"/>
        </w:rPr>
        <w:t>． 7</w:t>
      </w:r>
    </w:p>
    <w:p w14:paraId="6B2C9C3D">
      <w:pPr>
        <w:spacing w:line="360" w:lineRule="auto"/>
        <w:jc w:val="left"/>
        <w:rPr>
          <w:rFonts w:hint="eastAsia" w:ascii="宋体" w:hAnsi="宋体"/>
          <w:b/>
          <w:sz w:val="24"/>
        </w:rPr>
      </w:pPr>
      <w:r>
        <w:rPr>
          <w:rFonts w:hint="eastAsia" w:ascii="宋体" w:hAnsi="宋体"/>
          <w:b/>
          <w:sz w:val="24"/>
        </w:rPr>
        <w:t>不确定度报告</w:t>
      </w:r>
    </w:p>
    <w:p w14:paraId="1DFEEA87">
      <w:pPr>
        <w:spacing w:line="360" w:lineRule="auto"/>
        <w:rPr>
          <w:rFonts w:hint="eastAsia" w:ascii="宋体" w:hAnsi="宋体"/>
          <w:sz w:val="24"/>
        </w:rPr>
      </w:pPr>
      <w:r>
        <w:rPr>
          <w:rFonts w:hint="eastAsia" w:ascii="宋体" w:hAnsi="宋体"/>
          <w:i/>
          <w:sz w:val="24"/>
        </w:rPr>
        <w:t>U</w:t>
      </w:r>
      <w:r>
        <w:rPr>
          <w:rFonts w:hint="eastAsia" w:ascii="宋体" w:hAnsi="宋体"/>
          <w:sz w:val="24"/>
        </w:rPr>
        <w:t>=0.29</w:t>
      </w:r>
      <w:r>
        <w:rPr>
          <w:rFonts w:hint="eastAsia" w:ascii="宋体" w:hAnsi="宋体"/>
          <w:color w:val="000000"/>
          <w:sz w:val="24"/>
        </w:rPr>
        <w:t>μm</w:t>
      </w:r>
      <w:r>
        <w:rPr>
          <w:rFonts w:hint="eastAsia" w:ascii="宋体" w:hAnsi="宋体"/>
          <w:sz w:val="24"/>
        </w:rPr>
        <w:t>（标准值： 7.66</w:t>
      </w:r>
      <w:r>
        <w:rPr>
          <w:rFonts w:hint="eastAsia" w:ascii="宋体" w:hAnsi="宋体"/>
          <w:color w:val="000000"/>
          <w:sz w:val="24"/>
        </w:rPr>
        <w:t>μm</w:t>
      </w:r>
      <w:r>
        <w:rPr>
          <w:rFonts w:hint="eastAsia" w:ascii="宋体" w:hAnsi="宋体"/>
          <w:sz w:val="24"/>
        </w:rPr>
        <w:t xml:space="preserve">）     </w:t>
      </w:r>
      <w:r>
        <w:rPr>
          <w:rFonts w:hint="eastAsia" w:ascii="宋体" w:hAnsi="宋体"/>
          <w:i/>
          <w:sz w:val="24"/>
        </w:rPr>
        <w:t>k</w:t>
      </w:r>
      <w:r>
        <w:rPr>
          <w:rFonts w:hint="eastAsia" w:ascii="宋体" w:hAnsi="宋体"/>
          <w:sz w:val="24"/>
        </w:rPr>
        <w:t>=2</w:t>
      </w:r>
    </w:p>
    <w:p w14:paraId="63613322">
      <w:pPr>
        <w:spacing w:line="360" w:lineRule="auto"/>
        <w:rPr>
          <w:rFonts w:hint="eastAsia" w:ascii="宋体" w:hAnsi="宋体"/>
          <w:sz w:val="24"/>
        </w:rPr>
      </w:pPr>
      <w:r>
        <w:rPr>
          <w:rFonts w:hint="eastAsia" w:ascii="宋体" w:hAnsi="宋体"/>
          <w:i/>
          <w:sz w:val="24"/>
        </w:rPr>
        <w:t>U</w:t>
      </w:r>
      <w:r>
        <w:rPr>
          <w:rFonts w:hint="eastAsia" w:ascii="宋体" w:hAnsi="宋体"/>
          <w:sz w:val="24"/>
        </w:rPr>
        <w:t>=0.69</w:t>
      </w:r>
      <w:r>
        <w:rPr>
          <w:rFonts w:hint="eastAsia" w:ascii="宋体" w:hAnsi="宋体"/>
          <w:color w:val="000000"/>
          <w:sz w:val="24"/>
        </w:rPr>
        <w:t>μm</w:t>
      </w:r>
      <w:r>
        <w:rPr>
          <w:rFonts w:hint="eastAsia" w:ascii="宋体" w:hAnsi="宋体"/>
          <w:sz w:val="24"/>
        </w:rPr>
        <w:t>（标准值：17.98</w:t>
      </w:r>
      <w:r>
        <w:rPr>
          <w:rFonts w:hint="eastAsia" w:ascii="宋体" w:hAnsi="宋体"/>
          <w:color w:val="000000"/>
          <w:sz w:val="24"/>
        </w:rPr>
        <w:t>μm</w:t>
      </w:r>
      <w:r>
        <w:rPr>
          <w:rFonts w:hint="eastAsia" w:ascii="宋体" w:hAnsi="宋体"/>
          <w:sz w:val="24"/>
        </w:rPr>
        <w:t xml:space="preserve">）     </w:t>
      </w:r>
      <w:r>
        <w:rPr>
          <w:rFonts w:hint="eastAsia" w:ascii="宋体" w:hAnsi="宋体"/>
          <w:i/>
          <w:sz w:val="24"/>
        </w:rPr>
        <w:t>k</w:t>
      </w:r>
      <w:r>
        <w:rPr>
          <w:rFonts w:hint="eastAsia" w:ascii="宋体" w:hAnsi="宋体"/>
          <w:sz w:val="24"/>
        </w:rPr>
        <w:t>=2</w:t>
      </w:r>
    </w:p>
    <w:p w14:paraId="7D4EE87A">
      <w:pPr>
        <w:spacing w:line="360" w:lineRule="auto"/>
        <w:rPr>
          <w:rFonts w:hint="eastAsia" w:ascii="宋体" w:hAnsi="宋体"/>
          <w:sz w:val="24"/>
        </w:rPr>
      </w:pPr>
      <w:r>
        <w:rPr>
          <w:rFonts w:hint="eastAsia" w:ascii="宋体" w:hAnsi="宋体"/>
          <w:i/>
          <w:sz w:val="24"/>
        </w:rPr>
        <w:t>U</w:t>
      </w:r>
      <w:r>
        <w:rPr>
          <w:rFonts w:hint="eastAsia" w:ascii="宋体" w:hAnsi="宋体"/>
          <w:sz w:val="24"/>
        </w:rPr>
        <w:t>=1.12</w:t>
      </w:r>
      <w:r>
        <w:rPr>
          <w:rFonts w:hint="eastAsia" w:ascii="宋体" w:hAnsi="宋体"/>
          <w:color w:val="000000"/>
          <w:sz w:val="24"/>
        </w:rPr>
        <w:t>μm</w:t>
      </w:r>
      <w:r>
        <w:rPr>
          <w:rFonts w:hint="eastAsia" w:ascii="宋体" w:hAnsi="宋体"/>
          <w:sz w:val="24"/>
        </w:rPr>
        <w:t>（标准值： 29.16</w:t>
      </w:r>
      <w:r>
        <w:rPr>
          <w:rFonts w:hint="eastAsia" w:ascii="宋体" w:hAnsi="宋体"/>
          <w:color w:val="000000"/>
          <w:sz w:val="24"/>
        </w:rPr>
        <w:t>μm</w:t>
      </w:r>
      <w:r>
        <w:rPr>
          <w:rFonts w:hint="eastAsia" w:ascii="宋体" w:hAnsi="宋体"/>
          <w:sz w:val="24"/>
        </w:rPr>
        <w:t xml:space="preserve">）    </w:t>
      </w:r>
      <w:r>
        <w:rPr>
          <w:rFonts w:hint="eastAsia" w:ascii="宋体" w:hAnsi="宋体"/>
          <w:i/>
          <w:sz w:val="24"/>
        </w:rPr>
        <w:t>k</w:t>
      </w:r>
      <w:r>
        <w:rPr>
          <w:rFonts w:hint="eastAsia" w:ascii="宋体" w:hAnsi="宋体"/>
          <w:sz w:val="24"/>
        </w:rPr>
        <w:t>=2</w:t>
      </w:r>
    </w:p>
    <w:p w14:paraId="3C3D2B69">
      <w:pPr>
        <w:spacing w:line="360" w:lineRule="auto"/>
        <w:jc w:val="center"/>
        <w:rPr>
          <w:rFonts w:eastAsia="仿宋_GB2312"/>
          <w:sz w:val="24"/>
        </w:rPr>
      </w:pPr>
      <w:r>
        <w:rPr>
          <w:position w:val="-12"/>
          <w:sz w:val="24"/>
        </w:rPr>
        <w:t>————————————————————</w:t>
      </w:r>
    </w:p>
    <w:sectPr>
      <w:pgSz w:w="11906" w:h="16838"/>
      <w:pgMar w:top="1440" w:right="1418" w:bottom="1440" w:left="1418" w:header="850" w:footer="992"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NewRoman">
    <w:altName w:val="Times New Roman"/>
    <w:panose1 w:val="00000000000000000000"/>
    <w:charset w:val="00"/>
    <w:family w:val="roman"/>
    <w:pitch w:val="default"/>
    <w:sig w:usb0="00000000" w:usb1="00000000" w:usb2="00000010" w:usb3="00000000" w:csb0="00020001" w:csb1="00000000"/>
  </w:font>
  <w:font w:name="DFPHei Std W9">
    <w:altName w:val="宋体"/>
    <w:panose1 w:val="00000000000000000000"/>
    <w:charset w:val="86"/>
    <w:family w:val="swiss"/>
    <w:pitch w:val="default"/>
    <w:sig w:usb0="00000000" w:usb1="00000000" w:usb2="00000010" w:usb3="00000000" w:csb0="00040000" w:csb1="00000000"/>
  </w:font>
  <w:font w:name="DFPHei Std W5">
    <w:altName w:val="宋体"/>
    <w:panose1 w:val="00000000000000000000"/>
    <w:charset w:val="86"/>
    <w:family w:val="swiss"/>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MS Mincho">
    <w:altName w:val="Kozuka Mincho Pr6N R"/>
    <w:panose1 w:val="02020609040205080304"/>
    <w:charset w:val="80"/>
    <w:family w:val="modern"/>
    <w:pitch w:val="default"/>
    <w:sig w:usb0="00000000" w:usb1="00000000" w:usb2="00000012" w:usb3="00000000" w:csb0="0002009F" w:csb1="00000000"/>
  </w:font>
  <w:font w:name="ＭＳ 明朝">
    <w:altName w:val="SWAstro"/>
    <w:panose1 w:val="00000000000000000000"/>
    <w:charset w:val="00"/>
    <w:family w:val="auto"/>
    <w:pitch w:val="default"/>
    <w:sig w:usb0="00000000" w:usb1="00000000" w:usb2="00000000" w:usb3="00000000" w:csb0="00000000" w:csb1="00000000"/>
  </w:font>
  <w:font w:name="Kozuka Mincho Pr6N R">
    <w:panose1 w:val="02020400000000000000"/>
    <w:charset w:val="80"/>
    <w:family w:val="auto"/>
    <w:pitch w:val="default"/>
    <w:sig w:usb0="000002D7" w:usb1="2AC73C11" w:usb2="00000012"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7122069"/>
      <w:docPartObj>
        <w:docPartGallery w:val="autotext"/>
      </w:docPartObj>
    </w:sdtPr>
    <w:sdtContent>
      <w:p w14:paraId="65BC3A55">
        <w:pPr>
          <w:pStyle w:val="55"/>
          <w:jc w:val="right"/>
        </w:pPr>
        <w:r>
          <w:fldChar w:fldCharType="begin"/>
        </w:r>
        <w:r>
          <w:instrText xml:space="preserve">PAGE   \* MERGEFORMAT</w:instrText>
        </w:r>
        <w:r>
          <w:fldChar w:fldCharType="separate"/>
        </w:r>
        <w:r>
          <w:rPr>
            <w:lang w:val="zh-CN"/>
          </w:rPr>
          <w:t>9</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DECD4">
    <w:pPr>
      <w:pStyle w:val="5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6672133"/>
      <w:docPartObj>
        <w:docPartGallery w:val="autotext"/>
      </w:docPartObj>
    </w:sdtPr>
    <w:sdtContent>
      <w:p w14:paraId="67EA9D3C">
        <w:pPr>
          <w:pStyle w:val="55"/>
          <w:jc w:val="right"/>
        </w:pPr>
        <w:r>
          <w:fldChar w:fldCharType="begin"/>
        </w:r>
        <w:r>
          <w:instrText xml:space="preserve">PAGE   \* MERGEFORMAT</w:instrText>
        </w:r>
        <w: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50E36">
    <w:pPr>
      <w:pStyle w:val="57"/>
      <w:pBdr>
        <w:bottom w:val="single" w:color="auto" w:sz="6" w:space="4"/>
      </w:pBdr>
      <w:rPr>
        <w:b/>
        <w:sz w:val="21"/>
        <w:szCs w:val="21"/>
      </w:rPr>
    </w:pPr>
    <w:r>
      <w:rPr>
        <w:b/>
        <w:sz w:val="21"/>
        <w:szCs w:val="21"/>
      </w:rPr>
      <w:t>JJF</w:t>
    </w:r>
    <w:r>
      <w:rPr>
        <w:rFonts w:hint="eastAsia"/>
        <w:b/>
        <w:sz w:val="21"/>
        <w:szCs w:val="21"/>
      </w:rPr>
      <w:t xml:space="preserve"> </w:t>
    </w:r>
    <w:r>
      <w:rPr>
        <w:b/>
        <w:sz w:val="21"/>
        <w:szCs w:val="21"/>
      </w:rPr>
      <w:t>xxxx</w:t>
    </w:r>
    <w:r>
      <w:rPr>
        <w:rFonts w:hint="eastAsia"/>
        <w:b/>
        <w:sz w:val="21"/>
        <w:szCs w:val="21"/>
      </w:rPr>
      <w:t>—2</w:t>
    </w:r>
    <w:r>
      <w:rPr>
        <w:b/>
        <w:sz w:val="21"/>
        <w:szCs w:val="21"/>
      </w:rPr>
      <w:t>02</w:t>
    </w:r>
    <w:r>
      <w:rPr>
        <w:rFonts w:hint="eastAsia"/>
        <w:b/>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83844"/>
    <w:multiLevelType w:val="multilevel"/>
    <w:tmpl w:val="0D983844"/>
    <w:lvl w:ilvl="0" w:tentative="0">
      <w:start w:val="1"/>
      <w:numFmt w:val="decimal"/>
      <w:pStyle w:val="18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179"/>
      <w:suff w:val="nothing"/>
      <w:lvlText w:val="%1——"/>
      <w:lvlJc w:val="left"/>
      <w:pPr>
        <w:ind w:left="833" w:hanging="408"/>
      </w:pPr>
      <w:rPr>
        <w:rFonts w:hint="eastAsia"/>
      </w:rPr>
    </w:lvl>
    <w:lvl w:ilvl="1" w:tentative="0">
      <w:start w:val="1"/>
      <w:numFmt w:val="bullet"/>
      <w:pStyle w:val="180"/>
      <w:lvlText w:val=""/>
      <w:lvlJc w:val="left"/>
      <w:pPr>
        <w:tabs>
          <w:tab w:val="left" w:pos="760"/>
        </w:tabs>
        <w:ind w:left="1264" w:hanging="413"/>
      </w:pPr>
      <w:rPr>
        <w:rFonts w:hint="default" w:ascii="Symbol" w:hAnsi="Symbol"/>
        <w:color w:val="auto"/>
      </w:rPr>
    </w:lvl>
    <w:lvl w:ilvl="2" w:tentative="0">
      <w:start w:val="1"/>
      <w:numFmt w:val="bullet"/>
      <w:pStyle w:val="18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1282"/>
        </w:tabs>
        <w:ind w:left="1095" w:hanging="528"/>
      </w:pPr>
      <w:rPr>
        <w:rFonts w:ascii="宋体" w:hAnsi="Times New Roman" w:eastAsia="宋体" w:cs="Times New Roman"/>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836740F"/>
    <w:multiLevelType w:val="multilevel"/>
    <w:tmpl w:val="4836740F"/>
    <w:lvl w:ilvl="0" w:tentative="0">
      <w:start w:val="1"/>
      <w:numFmt w:val="japaneseCounting"/>
      <w:lvlText w:val="%1、"/>
      <w:lvlJc w:val="left"/>
      <w:pPr>
        <w:tabs>
          <w:tab w:val="left" w:pos="480"/>
        </w:tabs>
        <w:ind w:left="480" w:hanging="480"/>
      </w:pPr>
      <w:rPr>
        <w:rFonts w:hint="default"/>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B55DC2"/>
    <w:multiLevelType w:val="multilevel"/>
    <w:tmpl w:val="60B55DC2"/>
    <w:lvl w:ilvl="0" w:tentative="0">
      <w:start w:val="1"/>
      <w:numFmt w:val="upperLetter"/>
      <w:pStyle w:val="151"/>
      <w:lvlText w:val="%1"/>
      <w:lvlJc w:val="left"/>
      <w:pPr>
        <w:tabs>
          <w:tab w:val="left" w:pos="0"/>
        </w:tabs>
        <w:ind w:left="0" w:hanging="425"/>
      </w:pPr>
      <w:rPr>
        <w:rFonts w:hint="eastAsia"/>
      </w:rPr>
    </w:lvl>
    <w:lvl w:ilvl="1" w:tentative="0">
      <w:start w:val="1"/>
      <w:numFmt w:val="decimal"/>
      <w:pStyle w:val="15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DBF04F4"/>
    <w:multiLevelType w:val="multilevel"/>
    <w:tmpl w:val="6DBF04F4"/>
    <w:lvl w:ilvl="0" w:tentative="0">
      <w:start w:val="1"/>
      <w:numFmt w:val="none"/>
      <w:pStyle w:val="18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RkNGIzZTI3NjY2ODY1OTljZGZkMzViNGQ1MjUifQ=="/>
  </w:docVars>
  <w:rsids>
    <w:rsidRoot w:val="002C24FD"/>
    <w:rsid w:val="00000656"/>
    <w:rsid w:val="00001052"/>
    <w:rsid w:val="000015D7"/>
    <w:rsid w:val="00001FCC"/>
    <w:rsid w:val="00002057"/>
    <w:rsid w:val="000020BC"/>
    <w:rsid w:val="000020E0"/>
    <w:rsid w:val="000030E9"/>
    <w:rsid w:val="00003415"/>
    <w:rsid w:val="0000470D"/>
    <w:rsid w:val="00005CF3"/>
    <w:rsid w:val="000072EB"/>
    <w:rsid w:val="00007BA0"/>
    <w:rsid w:val="00007ED4"/>
    <w:rsid w:val="000104D2"/>
    <w:rsid w:val="000109EA"/>
    <w:rsid w:val="00012AD6"/>
    <w:rsid w:val="00012E54"/>
    <w:rsid w:val="00013EE8"/>
    <w:rsid w:val="00014C8F"/>
    <w:rsid w:val="00015393"/>
    <w:rsid w:val="00015EEA"/>
    <w:rsid w:val="0001658F"/>
    <w:rsid w:val="00017B23"/>
    <w:rsid w:val="00022BCC"/>
    <w:rsid w:val="00023DE7"/>
    <w:rsid w:val="00024147"/>
    <w:rsid w:val="0002477A"/>
    <w:rsid w:val="00024816"/>
    <w:rsid w:val="00026305"/>
    <w:rsid w:val="0002725C"/>
    <w:rsid w:val="0002752D"/>
    <w:rsid w:val="0003007B"/>
    <w:rsid w:val="00030617"/>
    <w:rsid w:val="000322C4"/>
    <w:rsid w:val="00032968"/>
    <w:rsid w:val="00032D42"/>
    <w:rsid w:val="0003373E"/>
    <w:rsid w:val="0003446D"/>
    <w:rsid w:val="00034751"/>
    <w:rsid w:val="000348F9"/>
    <w:rsid w:val="00035E18"/>
    <w:rsid w:val="00035F42"/>
    <w:rsid w:val="00036BBB"/>
    <w:rsid w:val="00036DBA"/>
    <w:rsid w:val="000373E4"/>
    <w:rsid w:val="00037411"/>
    <w:rsid w:val="00040B64"/>
    <w:rsid w:val="00041052"/>
    <w:rsid w:val="00041655"/>
    <w:rsid w:val="00041CD5"/>
    <w:rsid w:val="00041F15"/>
    <w:rsid w:val="000422C2"/>
    <w:rsid w:val="00043705"/>
    <w:rsid w:val="00043F5F"/>
    <w:rsid w:val="00044B09"/>
    <w:rsid w:val="00044B83"/>
    <w:rsid w:val="00045071"/>
    <w:rsid w:val="00046386"/>
    <w:rsid w:val="00046659"/>
    <w:rsid w:val="00047CE7"/>
    <w:rsid w:val="00050894"/>
    <w:rsid w:val="00051007"/>
    <w:rsid w:val="000518EB"/>
    <w:rsid w:val="00051961"/>
    <w:rsid w:val="00051D70"/>
    <w:rsid w:val="000526DC"/>
    <w:rsid w:val="000528CF"/>
    <w:rsid w:val="000541CE"/>
    <w:rsid w:val="0005533C"/>
    <w:rsid w:val="00060939"/>
    <w:rsid w:val="00062528"/>
    <w:rsid w:val="00065193"/>
    <w:rsid w:val="000664EA"/>
    <w:rsid w:val="000677BA"/>
    <w:rsid w:val="0006788F"/>
    <w:rsid w:val="000709A4"/>
    <w:rsid w:val="00070B3E"/>
    <w:rsid w:val="00075A5E"/>
    <w:rsid w:val="00075A69"/>
    <w:rsid w:val="00076CFC"/>
    <w:rsid w:val="00077127"/>
    <w:rsid w:val="00077955"/>
    <w:rsid w:val="00081CFF"/>
    <w:rsid w:val="0008223D"/>
    <w:rsid w:val="00082B29"/>
    <w:rsid w:val="000843CC"/>
    <w:rsid w:val="00085719"/>
    <w:rsid w:val="00085D1B"/>
    <w:rsid w:val="00086D5B"/>
    <w:rsid w:val="000870BA"/>
    <w:rsid w:val="00090B8C"/>
    <w:rsid w:val="00090FB8"/>
    <w:rsid w:val="00091ADC"/>
    <w:rsid w:val="000937FF"/>
    <w:rsid w:val="00093B99"/>
    <w:rsid w:val="0009583D"/>
    <w:rsid w:val="00095CAF"/>
    <w:rsid w:val="00095DA2"/>
    <w:rsid w:val="0009664A"/>
    <w:rsid w:val="00096ACA"/>
    <w:rsid w:val="000A0058"/>
    <w:rsid w:val="000A0164"/>
    <w:rsid w:val="000A13CD"/>
    <w:rsid w:val="000A1411"/>
    <w:rsid w:val="000A1905"/>
    <w:rsid w:val="000A1B60"/>
    <w:rsid w:val="000A1D8B"/>
    <w:rsid w:val="000A407A"/>
    <w:rsid w:val="000A4FE5"/>
    <w:rsid w:val="000A5722"/>
    <w:rsid w:val="000A5788"/>
    <w:rsid w:val="000A5BED"/>
    <w:rsid w:val="000A5C14"/>
    <w:rsid w:val="000A677F"/>
    <w:rsid w:val="000A6BC7"/>
    <w:rsid w:val="000B22B1"/>
    <w:rsid w:val="000B236B"/>
    <w:rsid w:val="000B2A33"/>
    <w:rsid w:val="000B3A08"/>
    <w:rsid w:val="000B3C2F"/>
    <w:rsid w:val="000B4A82"/>
    <w:rsid w:val="000B4C7C"/>
    <w:rsid w:val="000B4E3D"/>
    <w:rsid w:val="000B5001"/>
    <w:rsid w:val="000B6872"/>
    <w:rsid w:val="000B725E"/>
    <w:rsid w:val="000B7F40"/>
    <w:rsid w:val="000C0CB0"/>
    <w:rsid w:val="000C15FD"/>
    <w:rsid w:val="000C1E69"/>
    <w:rsid w:val="000C1F0F"/>
    <w:rsid w:val="000C3D18"/>
    <w:rsid w:val="000C4710"/>
    <w:rsid w:val="000C4C5A"/>
    <w:rsid w:val="000C529D"/>
    <w:rsid w:val="000C7362"/>
    <w:rsid w:val="000C7908"/>
    <w:rsid w:val="000C7AE9"/>
    <w:rsid w:val="000D095F"/>
    <w:rsid w:val="000D0B4F"/>
    <w:rsid w:val="000D211F"/>
    <w:rsid w:val="000D27BA"/>
    <w:rsid w:val="000D30CE"/>
    <w:rsid w:val="000D35DD"/>
    <w:rsid w:val="000E01E2"/>
    <w:rsid w:val="000E1663"/>
    <w:rsid w:val="000E334F"/>
    <w:rsid w:val="000E3ED7"/>
    <w:rsid w:val="000E5038"/>
    <w:rsid w:val="000E60E9"/>
    <w:rsid w:val="000E6970"/>
    <w:rsid w:val="000E6BBD"/>
    <w:rsid w:val="000F03AC"/>
    <w:rsid w:val="000F06DA"/>
    <w:rsid w:val="000F0AD0"/>
    <w:rsid w:val="000F0D8B"/>
    <w:rsid w:val="000F1D7C"/>
    <w:rsid w:val="000F2F57"/>
    <w:rsid w:val="000F4034"/>
    <w:rsid w:val="000F49DF"/>
    <w:rsid w:val="000F78F4"/>
    <w:rsid w:val="000F7E79"/>
    <w:rsid w:val="0010164B"/>
    <w:rsid w:val="001019F2"/>
    <w:rsid w:val="00101E96"/>
    <w:rsid w:val="00103733"/>
    <w:rsid w:val="00103FA6"/>
    <w:rsid w:val="00104F00"/>
    <w:rsid w:val="00105A3D"/>
    <w:rsid w:val="001063E2"/>
    <w:rsid w:val="001076B6"/>
    <w:rsid w:val="0011035F"/>
    <w:rsid w:val="00110754"/>
    <w:rsid w:val="001108E8"/>
    <w:rsid w:val="001161A6"/>
    <w:rsid w:val="00116AD0"/>
    <w:rsid w:val="00116D62"/>
    <w:rsid w:val="00116E9D"/>
    <w:rsid w:val="001175BA"/>
    <w:rsid w:val="001208ED"/>
    <w:rsid w:val="00121494"/>
    <w:rsid w:val="001217E0"/>
    <w:rsid w:val="00121AC9"/>
    <w:rsid w:val="00122F99"/>
    <w:rsid w:val="00123A7E"/>
    <w:rsid w:val="00123E17"/>
    <w:rsid w:val="00124BED"/>
    <w:rsid w:val="00125E95"/>
    <w:rsid w:val="001261E7"/>
    <w:rsid w:val="0012663E"/>
    <w:rsid w:val="00127CA4"/>
    <w:rsid w:val="00127DAD"/>
    <w:rsid w:val="0013041C"/>
    <w:rsid w:val="0013084D"/>
    <w:rsid w:val="00130ED8"/>
    <w:rsid w:val="00131187"/>
    <w:rsid w:val="00131457"/>
    <w:rsid w:val="001314BA"/>
    <w:rsid w:val="00133FDE"/>
    <w:rsid w:val="001347AC"/>
    <w:rsid w:val="00134DF1"/>
    <w:rsid w:val="00135058"/>
    <w:rsid w:val="00135355"/>
    <w:rsid w:val="00135FF6"/>
    <w:rsid w:val="00136BEA"/>
    <w:rsid w:val="00136E6D"/>
    <w:rsid w:val="00137E1A"/>
    <w:rsid w:val="0014035D"/>
    <w:rsid w:val="00140DFA"/>
    <w:rsid w:val="001412C6"/>
    <w:rsid w:val="00141311"/>
    <w:rsid w:val="00141391"/>
    <w:rsid w:val="00141B63"/>
    <w:rsid w:val="0014263D"/>
    <w:rsid w:val="001438F5"/>
    <w:rsid w:val="001443A4"/>
    <w:rsid w:val="00144A04"/>
    <w:rsid w:val="00145D7A"/>
    <w:rsid w:val="001461D0"/>
    <w:rsid w:val="00146C59"/>
    <w:rsid w:val="00150B36"/>
    <w:rsid w:val="001515CA"/>
    <w:rsid w:val="001524A1"/>
    <w:rsid w:val="00152A16"/>
    <w:rsid w:val="00152D0D"/>
    <w:rsid w:val="001545F7"/>
    <w:rsid w:val="00154D0E"/>
    <w:rsid w:val="001562F5"/>
    <w:rsid w:val="00156C95"/>
    <w:rsid w:val="00160747"/>
    <w:rsid w:val="00160B16"/>
    <w:rsid w:val="00160DCA"/>
    <w:rsid w:val="00161957"/>
    <w:rsid w:val="00162BA1"/>
    <w:rsid w:val="00162EC2"/>
    <w:rsid w:val="00163459"/>
    <w:rsid w:val="001646A0"/>
    <w:rsid w:val="0016533A"/>
    <w:rsid w:val="00165769"/>
    <w:rsid w:val="001667E4"/>
    <w:rsid w:val="00167022"/>
    <w:rsid w:val="001744AB"/>
    <w:rsid w:val="001750C5"/>
    <w:rsid w:val="00176491"/>
    <w:rsid w:val="00176EB9"/>
    <w:rsid w:val="00176FA0"/>
    <w:rsid w:val="001777F5"/>
    <w:rsid w:val="00180F6B"/>
    <w:rsid w:val="001819A2"/>
    <w:rsid w:val="00182236"/>
    <w:rsid w:val="001826C0"/>
    <w:rsid w:val="00182707"/>
    <w:rsid w:val="0018426C"/>
    <w:rsid w:val="00184287"/>
    <w:rsid w:val="001843EE"/>
    <w:rsid w:val="001845D0"/>
    <w:rsid w:val="00185B2F"/>
    <w:rsid w:val="00185C57"/>
    <w:rsid w:val="00187AA7"/>
    <w:rsid w:val="001907AA"/>
    <w:rsid w:val="0019222A"/>
    <w:rsid w:val="0019258B"/>
    <w:rsid w:val="00192947"/>
    <w:rsid w:val="00194665"/>
    <w:rsid w:val="00194DAC"/>
    <w:rsid w:val="00195035"/>
    <w:rsid w:val="001956F5"/>
    <w:rsid w:val="001961ED"/>
    <w:rsid w:val="001A02DE"/>
    <w:rsid w:val="001A0AA5"/>
    <w:rsid w:val="001A1228"/>
    <w:rsid w:val="001A1FA7"/>
    <w:rsid w:val="001A2E76"/>
    <w:rsid w:val="001A3D89"/>
    <w:rsid w:val="001A46E0"/>
    <w:rsid w:val="001A4A56"/>
    <w:rsid w:val="001A4E29"/>
    <w:rsid w:val="001A4F70"/>
    <w:rsid w:val="001A52A3"/>
    <w:rsid w:val="001A59A6"/>
    <w:rsid w:val="001A5BAF"/>
    <w:rsid w:val="001A679B"/>
    <w:rsid w:val="001A691D"/>
    <w:rsid w:val="001A6BBD"/>
    <w:rsid w:val="001A7AD0"/>
    <w:rsid w:val="001A7F55"/>
    <w:rsid w:val="001B0486"/>
    <w:rsid w:val="001B1283"/>
    <w:rsid w:val="001B1778"/>
    <w:rsid w:val="001B1A20"/>
    <w:rsid w:val="001B1B24"/>
    <w:rsid w:val="001B2628"/>
    <w:rsid w:val="001B2730"/>
    <w:rsid w:val="001B284D"/>
    <w:rsid w:val="001B33FE"/>
    <w:rsid w:val="001B42A1"/>
    <w:rsid w:val="001B56E8"/>
    <w:rsid w:val="001B65B3"/>
    <w:rsid w:val="001B6EC0"/>
    <w:rsid w:val="001B7390"/>
    <w:rsid w:val="001B770B"/>
    <w:rsid w:val="001C03FF"/>
    <w:rsid w:val="001C0F10"/>
    <w:rsid w:val="001C1820"/>
    <w:rsid w:val="001C1D0D"/>
    <w:rsid w:val="001C3AC4"/>
    <w:rsid w:val="001C416C"/>
    <w:rsid w:val="001C4840"/>
    <w:rsid w:val="001C5578"/>
    <w:rsid w:val="001C6304"/>
    <w:rsid w:val="001D0BC1"/>
    <w:rsid w:val="001D0BFA"/>
    <w:rsid w:val="001D116D"/>
    <w:rsid w:val="001D2AF1"/>
    <w:rsid w:val="001D309D"/>
    <w:rsid w:val="001D3967"/>
    <w:rsid w:val="001D6004"/>
    <w:rsid w:val="001D787C"/>
    <w:rsid w:val="001D7B4A"/>
    <w:rsid w:val="001D7E83"/>
    <w:rsid w:val="001E06F2"/>
    <w:rsid w:val="001E2F77"/>
    <w:rsid w:val="001E302F"/>
    <w:rsid w:val="001E31DF"/>
    <w:rsid w:val="001E3C28"/>
    <w:rsid w:val="001E4EA1"/>
    <w:rsid w:val="001E5B8C"/>
    <w:rsid w:val="001E5C84"/>
    <w:rsid w:val="001E5CBF"/>
    <w:rsid w:val="001E6C1A"/>
    <w:rsid w:val="001E6E8D"/>
    <w:rsid w:val="001E6F51"/>
    <w:rsid w:val="001E7526"/>
    <w:rsid w:val="001E79A2"/>
    <w:rsid w:val="001F0053"/>
    <w:rsid w:val="001F0712"/>
    <w:rsid w:val="001F0757"/>
    <w:rsid w:val="001F1BC0"/>
    <w:rsid w:val="001F1F6A"/>
    <w:rsid w:val="001F2832"/>
    <w:rsid w:val="001F344C"/>
    <w:rsid w:val="001F3B20"/>
    <w:rsid w:val="001F4E48"/>
    <w:rsid w:val="001F5474"/>
    <w:rsid w:val="001F5661"/>
    <w:rsid w:val="001F5977"/>
    <w:rsid w:val="001F632A"/>
    <w:rsid w:val="001F6B75"/>
    <w:rsid w:val="0020030D"/>
    <w:rsid w:val="00207137"/>
    <w:rsid w:val="002073F4"/>
    <w:rsid w:val="002075B1"/>
    <w:rsid w:val="00207B4C"/>
    <w:rsid w:val="002102B4"/>
    <w:rsid w:val="00210351"/>
    <w:rsid w:val="00210BC9"/>
    <w:rsid w:val="00210DE0"/>
    <w:rsid w:val="00211688"/>
    <w:rsid w:val="002120C8"/>
    <w:rsid w:val="0021283A"/>
    <w:rsid w:val="00214342"/>
    <w:rsid w:val="00214516"/>
    <w:rsid w:val="00215A49"/>
    <w:rsid w:val="002164B3"/>
    <w:rsid w:val="002166C1"/>
    <w:rsid w:val="0021696A"/>
    <w:rsid w:val="002177FD"/>
    <w:rsid w:val="00220811"/>
    <w:rsid w:val="00221589"/>
    <w:rsid w:val="00221C70"/>
    <w:rsid w:val="0022361D"/>
    <w:rsid w:val="00223835"/>
    <w:rsid w:val="00224378"/>
    <w:rsid w:val="0022534B"/>
    <w:rsid w:val="002255B8"/>
    <w:rsid w:val="00225936"/>
    <w:rsid w:val="00225FF2"/>
    <w:rsid w:val="002268EB"/>
    <w:rsid w:val="00227403"/>
    <w:rsid w:val="002277DA"/>
    <w:rsid w:val="00230889"/>
    <w:rsid w:val="0023233F"/>
    <w:rsid w:val="00233876"/>
    <w:rsid w:val="0023465B"/>
    <w:rsid w:val="00235DDE"/>
    <w:rsid w:val="00236B4E"/>
    <w:rsid w:val="00237E40"/>
    <w:rsid w:val="0024085A"/>
    <w:rsid w:val="002408D5"/>
    <w:rsid w:val="00242DC6"/>
    <w:rsid w:val="00242E29"/>
    <w:rsid w:val="002438D0"/>
    <w:rsid w:val="00243FCE"/>
    <w:rsid w:val="00244127"/>
    <w:rsid w:val="002451FB"/>
    <w:rsid w:val="002454B4"/>
    <w:rsid w:val="0024556D"/>
    <w:rsid w:val="00245B32"/>
    <w:rsid w:val="00246D35"/>
    <w:rsid w:val="00247923"/>
    <w:rsid w:val="002507EF"/>
    <w:rsid w:val="00250BA1"/>
    <w:rsid w:val="00251976"/>
    <w:rsid w:val="00253ACD"/>
    <w:rsid w:val="00254F90"/>
    <w:rsid w:val="00255C3D"/>
    <w:rsid w:val="00261420"/>
    <w:rsid w:val="00261458"/>
    <w:rsid w:val="002624FD"/>
    <w:rsid w:val="00262C51"/>
    <w:rsid w:val="00262D9F"/>
    <w:rsid w:val="0026590D"/>
    <w:rsid w:val="00265C14"/>
    <w:rsid w:val="00266212"/>
    <w:rsid w:val="0027099D"/>
    <w:rsid w:val="00270A19"/>
    <w:rsid w:val="00270E34"/>
    <w:rsid w:val="00272319"/>
    <w:rsid w:val="00272C83"/>
    <w:rsid w:val="00274473"/>
    <w:rsid w:val="002748A0"/>
    <w:rsid w:val="002754B9"/>
    <w:rsid w:val="002766AA"/>
    <w:rsid w:val="002778E9"/>
    <w:rsid w:val="00280120"/>
    <w:rsid w:val="00282C29"/>
    <w:rsid w:val="00282E3D"/>
    <w:rsid w:val="002830B8"/>
    <w:rsid w:val="00283983"/>
    <w:rsid w:val="002854E7"/>
    <w:rsid w:val="00285C61"/>
    <w:rsid w:val="002873B1"/>
    <w:rsid w:val="00290FB6"/>
    <w:rsid w:val="0029243B"/>
    <w:rsid w:val="002939ED"/>
    <w:rsid w:val="0029443B"/>
    <w:rsid w:val="0029622D"/>
    <w:rsid w:val="00296AFD"/>
    <w:rsid w:val="002A1479"/>
    <w:rsid w:val="002A1812"/>
    <w:rsid w:val="002A2448"/>
    <w:rsid w:val="002A2F6C"/>
    <w:rsid w:val="002A35D6"/>
    <w:rsid w:val="002A3D17"/>
    <w:rsid w:val="002A403A"/>
    <w:rsid w:val="002A49D1"/>
    <w:rsid w:val="002A4E76"/>
    <w:rsid w:val="002A5172"/>
    <w:rsid w:val="002A530D"/>
    <w:rsid w:val="002A714D"/>
    <w:rsid w:val="002A73E8"/>
    <w:rsid w:val="002A7AE7"/>
    <w:rsid w:val="002A7FBE"/>
    <w:rsid w:val="002B0B61"/>
    <w:rsid w:val="002B2473"/>
    <w:rsid w:val="002B24C6"/>
    <w:rsid w:val="002B321C"/>
    <w:rsid w:val="002B344A"/>
    <w:rsid w:val="002B35CB"/>
    <w:rsid w:val="002B3C41"/>
    <w:rsid w:val="002B4973"/>
    <w:rsid w:val="002B4C83"/>
    <w:rsid w:val="002B5B6C"/>
    <w:rsid w:val="002B7A97"/>
    <w:rsid w:val="002C0018"/>
    <w:rsid w:val="002C005E"/>
    <w:rsid w:val="002C04B8"/>
    <w:rsid w:val="002C24FD"/>
    <w:rsid w:val="002C297A"/>
    <w:rsid w:val="002C2D08"/>
    <w:rsid w:val="002C3B80"/>
    <w:rsid w:val="002C4DBC"/>
    <w:rsid w:val="002C4FB1"/>
    <w:rsid w:val="002C525F"/>
    <w:rsid w:val="002C538F"/>
    <w:rsid w:val="002C6068"/>
    <w:rsid w:val="002C609C"/>
    <w:rsid w:val="002C64E2"/>
    <w:rsid w:val="002C7032"/>
    <w:rsid w:val="002C76BA"/>
    <w:rsid w:val="002C7AA0"/>
    <w:rsid w:val="002D1D04"/>
    <w:rsid w:val="002D20AE"/>
    <w:rsid w:val="002D2332"/>
    <w:rsid w:val="002D23C2"/>
    <w:rsid w:val="002D2728"/>
    <w:rsid w:val="002D2D74"/>
    <w:rsid w:val="002D3E9A"/>
    <w:rsid w:val="002D5A09"/>
    <w:rsid w:val="002D6ADA"/>
    <w:rsid w:val="002D7010"/>
    <w:rsid w:val="002E0731"/>
    <w:rsid w:val="002E09BC"/>
    <w:rsid w:val="002E09D1"/>
    <w:rsid w:val="002E2389"/>
    <w:rsid w:val="002E562F"/>
    <w:rsid w:val="002E58A7"/>
    <w:rsid w:val="002E58D4"/>
    <w:rsid w:val="002E5EA3"/>
    <w:rsid w:val="002E66E7"/>
    <w:rsid w:val="002E693D"/>
    <w:rsid w:val="002E6D90"/>
    <w:rsid w:val="002E7096"/>
    <w:rsid w:val="002E78B4"/>
    <w:rsid w:val="002E7B43"/>
    <w:rsid w:val="002E7E29"/>
    <w:rsid w:val="002F0CA9"/>
    <w:rsid w:val="002F0E50"/>
    <w:rsid w:val="002F16EF"/>
    <w:rsid w:val="002F1A05"/>
    <w:rsid w:val="002F1CD5"/>
    <w:rsid w:val="002F1DA5"/>
    <w:rsid w:val="002F2467"/>
    <w:rsid w:val="002F2BC3"/>
    <w:rsid w:val="002F36A3"/>
    <w:rsid w:val="002F3825"/>
    <w:rsid w:val="002F3DA6"/>
    <w:rsid w:val="002F3FCB"/>
    <w:rsid w:val="002F44E1"/>
    <w:rsid w:val="002F4AC7"/>
    <w:rsid w:val="002F4B17"/>
    <w:rsid w:val="0030089F"/>
    <w:rsid w:val="003034E2"/>
    <w:rsid w:val="003036E8"/>
    <w:rsid w:val="003039B6"/>
    <w:rsid w:val="003044D6"/>
    <w:rsid w:val="00304DF7"/>
    <w:rsid w:val="00304EDC"/>
    <w:rsid w:val="0030728D"/>
    <w:rsid w:val="00307DDA"/>
    <w:rsid w:val="00310DA8"/>
    <w:rsid w:val="003117F9"/>
    <w:rsid w:val="00311839"/>
    <w:rsid w:val="00311AF5"/>
    <w:rsid w:val="003134C7"/>
    <w:rsid w:val="00314BA6"/>
    <w:rsid w:val="0031514C"/>
    <w:rsid w:val="003158CE"/>
    <w:rsid w:val="00317231"/>
    <w:rsid w:val="003177FF"/>
    <w:rsid w:val="00322630"/>
    <w:rsid w:val="0032308B"/>
    <w:rsid w:val="0032442E"/>
    <w:rsid w:val="00324A6E"/>
    <w:rsid w:val="00324A8C"/>
    <w:rsid w:val="003254DB"/>
    <w:rsid w:val="00325F3A"/>
    <w:rsid w:val="00325F43"/>
    <w:rsid w:val="00327439"/>
    <w:rsid w:val="003274ED"/>
    <w:rsid w:val="0033000D"/>
    <w:rsid w:val="00330831"/>
    <w:rsid w:val="00330A8A"/>
    <w:rsid w:val="00330B56"/>
    <w:rsid w:val="00330F54"/>
    <w:rsid w:val="003311BD"/>
    <w:rsid w:val="00331E61"/>
    <w:rsid w:val="00334694"/>
    <w:rsid w:val="00336067"/>
    <w:rsid w:val="00337DF8"/>
    <w:rsid w:val="00340745"/>
    <w:rsid w:val="00340A6A"/>
    <w:rsid w:val="003430BE"/>
    <w:rsid w:val="0034457F"/>
    <w:rsid w:val="00345C34"/>
    <w:rsid w:val="0034746E"/>
    <w:rsid w:val="00351586"/>
    <w:rsid w:val="003523A4"/>
    <w:rsid w:val="00352EEE"/>
    <w:rsid w:val="00353105"/>
    <w:rsid w:val="0035333A"/>
    <w:rsid w:val="00353395"/>
    <w:rsid w:val="00353677"/>
    <w:rsid w:val="00354598"/>
    <w:rsid w:val="00356275"/>
    <w:rsid w:val="00356BB0"/>
    <w:rsid w:val="00356BCE"/>
    <w:rsid w:val="00356EF3"/>
    <w:rsid w:val="00357202"/>
    <w:rsid w:val="00357A71"/>
    <w:rsid w:val="003605DC"/>
    <w:rsid w:val="003623D0"/>
    <w:rsid w:val="00362515"/>
    <w:rsid w:val="0036320B"/>
    <w:rsid w:val="0036393F"/>
    <w:rsid w:val="00364278"/>
    <w:rsid w:val="003644C9"/>
    <w:rsid w:val="003648B5"/>
    <w:rsid w:val="00370684"/>
    <w:rsid w:val="0037116E"/>
    <w:rsid w:val="003712EE"/>
    <w:rsid w:val="00372632"/>
    <w:rsid w:val="00372B7E"/>
    <w:rsid w:val="00372DA0"/>
    <w:rsid w:val="0037420B"/>
    <w:rsid w:val="003743E6"/>
    <w:rsid w:val="0037505C"/>
    <w:rsid w:val="003777B4"/>
    <w:rsid w:val="003826EE"/>
    <w:rsid w:val="003835C3"/>
    <w:rsid w:val="00383F06"/>
    <w:rsid w:val="0038451E"/>
    <w:rsid w:val="00385226"/>
    <w:rsid w:val="00385693"/>
    <w:rsid w:val="00385CBC"/>
    <w:rsid w:val="003866BE"/>
    <w:rsid w:val="00387533"/>
    <w:rsid w:val="003875AD"/>
    <w:rsid w:val="003907F8"/>
    <w:rsid w:val="003913B6"/>
    <w:rsid w:val="00392B5A"/>
    <w:rsid w:val="0039329E"/>
    <w:rsid w:val="003947D4"/>
    <w:rsid w:val="003954DA"/>
    <w:rsid w:val="0039635F"/>
    <w:rsid w:val="00397A0C"/>
    <w:rsid w:val="003A1E24"/>
    <w:rsid w:val="003A2CA1"/>
    <w:rsid w:val="003A2DCE"/>
    <w:rsid w:val="003A4110"/>
    <w:rsid w:val="003A42E2"/>
    <w:rsid w:val="003A47B2"/>
    <w:rsid w:val="003A4FAE"/>
    <w:rsid w:val="003A58A1"/>
    <w:rsid w:val="003A5D08"/>
    <w:rsid w:val="003A6316"/>
    <w:rsid w:val="003A683A"/>
    <w:rsid w:val="003A7EBB"/>
    <w:rsid w:val="003B054D"/>
    <w:rsid w:val="003B06A2"/>
    <w:rsid w:val="003B321B"/>
    <w:rsid w:val="003B32C5"/>
    <w:rsid w:val="003B41F0"/>
    <w:rsid w:val="003B5938"/>
    <w:rsid w:val="003B6E89"/>
    <w:rsid w:val="003B7E3E"/>
    <w:rsid w:val="003C1278"/>
    <w:rsid w:val="003C1671"/>
    <w:rsid w:val="003C1844"/>
    <w:rsid w:val="003C1A39"/>
    <w:rsid w:val="003C2AE2"/>
    <w:rsid w:val="003C2FC5"/>
    <w:rsid w:val="003C3CB3"/>
    <w:rsid w:val="003C3D94"/>
    <w:rsid w:val="003C42B9"/>
    <w:rsid w:val="003C4568"/>
    <w:rsid w:val="003C49E4"/>
    <w:rsid w:val="003C4EAA"/>
    <w:rsid w:val="003C5411"/>
    <w:rsid w:val="003C5D4D"/>
    <w:rsid w:val="003C5D65"/>
    <w:rsid w:val="003C6BED"/>
    <w:rsid w:val="003C76F0"/>
    <w:rsid w:val="003C7789"/>
    <w:rsid w:val="003D0138"/>
    <w:rsid w:val="003D057C"/>
    <w:rsid w:val="003D0630"/>
    <w:rsid w:val="003D0ED4"/>
    <w:rsid w:val="003D126A"/>
    <w:rsid w:val="003D1EDE"/>
    <w:rsid w:val="003D3255"/>
    <w:rsid w:val="003D34FF"/>
    <w:rsid w:val="003D385D"/>
    <w:rsid w:val="003D3E78"/>
    <w:rsid w:val="003D53EA"/>
    <w:rsid w:val="003D5F46"/>
    <w:rsid w:val="003D6BA7"/>
    <w:rsid w:val="003E07C7"/>
    <w:rsid w:val="003E1E23"/>
    <w:rsid w:val="003E2836"/>
    <w:rsid w:val="003E3FA3"/>
    <w:rsid w:val="003E431E"/>
    <w:rsid w:val="003E4F55"/>
    <w:rsid w:val="003E544D"/>
    <w:rsid w:val="003E54A6"/>
    <w:rsid w:val="003E653B"/>
    <w:rsid w:val="003E65BA"/>
    <w:rsid w:val="003F0A7C"/>
    <w:rsid w:val="003F0BB3"/>
    <w:rsid w:val="003F0CC0"/>
    <w:rsid w:val="003F1A1F"/>
    <w:rsid w:val="003F1FA2"/>
    <w:rsid w:val="003F21CB"/>
    <w:rsid w:val="003F65DC"/>
    <w:rsid w:val="003F6A0D"/>
    <w:rsid w:val="003F6C45"/>
    <w:rsid w:val="003F7816"/>
    <w:rsid w:val="003F7D04"/>
    <w:rsid w:val="003F7D25"/>
    <w:rsid w:val="003F7D72"/>
    <w:rsid w:val="00400FFC"/>
    <w:rsid w:val="00401341"/>
    <w:rsid w:val="0040180F"/>
    <w:rsid w:val="004023BD"/>
    <w:rsid w:val="004024CD"/>
    <w:rsid w:val="004029DC"/>
    <w:rsid w:val="00402B99"/>
    <w:rsid w:val="00403285"/>
    <w:rsid w:val="00403602"/>
    <w:rsid w:val="004039CC"/>
    <w:rsid w:val="00404114"/>
    <w:rsid w:val="004044E2"/>
    <w:rsid w:val="004048F4"/>
    <w:rsid w:val="00405010"/>
    <w:rsid w:val="00405579"/>
    <w:rsid w:val="00405A1E"/>
    <w:rsid w:val="00406EE9"/>
    <w:rsid w:val="0041044D"/>
    <w:rsid w:val="00410E74"/>
    <w:rsid w:val="0041118C"/>
    <w:rsid w:val="004125B6"/>
    <w:rsid w:val="004125F0"/>
    <w:rsid w:val="00412B0F"/>
    <w:rsid w:val="00413902"/>
    <w:rsid w:val="0041430A"/>
    <w:rsid w:val="00414A86"/>
    <w:rsid w:val="00415585"/>
    <w:rsid w:val="00415A3A"/>
    <w:rsid w:val="00415E46"/>
    <w:rsid w:val="00416CE1"/>
    <w:rsid w:val="00417DDF"/>
    <w:rsid w:val="00420F66"/>
    <w:rsid w:val="0042106C"/>
    <w:rsid w:val="00421FD0"/>
    <w:rsid w:val="0042210F"/>
    <w:rsid w:val="0042273F"/>
    <w:rsid w:val="004230F8"/>
    <w:rsid w:val="00423F66"/>
    <w:rsid w:val="00423FD8"/>
    <w:rsid w:val="00424285"/>
    <w:rsid w:val="0042703D"/>
    <w:rsid w:val="004302F0"/>
    <w:rsid w:val="00430CB7"/>
    <w:rsid w:val="00430F9D"/>
    <w:rsid w:val="00431775"/>
    <w:rsid w:val="00431DB2"/>
    <w:rsid w:val="0043289C"/>
    <w:rsid w:val="00432E6E"/>
    <w:rsid w:val="00433722"/>
    <w:rsid w:val="004339D2"/>
    <w:rsid w:val="00433A09"/>
    <w:rsid w:val="00433B50"/>
    <w:rsid w:val="004342CA"/>
    <w:rsid w:val="00435786"/>
    <w:rsid w:val="00436660"/>
    <w:rsid w:val="00436ABE"/>
    <w:rsid w:val="00440505"/>
    <w:rsid w:val="00441383"/>
    <w:rsid w:val="0044271B"/>
    <w:rsid w:val="0044335A"/>
    <w:rsid w:val="00444F04"/>
    <w:rsid w:val="004454AD"/>
    <w:rsid w:val="00445B6F"/>
    <w:rsid w:val="004460E1"/>
    <w:rsid w:val="004473E2"/>
    <w:rsid w:val="00450498"/>
    <w:rsid w:val="00450C6A"/>
    <w:rsid w:val="00450DF4"/>
    <w:rsid w:val="00453754"/>
    <w:rsid w:val="00453C15"/>
    <w:rsid w:val="00455309"/>
    <w:rsid w:val="004553FA"/>
    <w:rsid w:val="00455F2E"/>
    <w:rsid w:val="00461066"/>
    <w:rsid w:val="00461B23"/>
    <w:rsid w:val="00463177"/>
    <w:rsid w:val="004632BF"/>
    <w:rsid w:val="00463668"/>
    <w:rsid w:val="0046488F"/>
    <w:rsid w:val="00464D42"/>
    <w:rsid w:val="00465ACF"/>
    <w:rsid w:val="0046631C"/>
    <w:rsid w:val="0046635D"/>
    <w:rsid w:val="00467146"/>
    <w:rsid w:val="00467265"/>
    <w:rsid w:val="00470798"/>
    <w:rsid w:val="004731A5"/>
    <w:rsid w:val="0047320E"/>
    <w:rsid w:val="004739D6"/>
    <w:rsid w:val="00475177"/>
    <w:rsid w:val="004760D7"/>
    <w:rsid w:val="00476C06"/>
    <w:rsid w:val="004775A2"/>
    <w:rsid w:val="004779ED"/>
    <w:rsid w:val="00480DC4"/>
    <w:rsid w:val="00482803"/>
    <w:rsid w:val="00483191"/>
    <w:rsid w:val="00483EF4"/>
    <w:rsid w:val="004869E8"/>
    <w:rsid w:val="0048741B"/>
    <w:rsid w:val="00487B92"/>
    <w:rsid w:val="00487BA7"/>
    <w:rsid w:val="00490886"/>
    <w:rsid w:val="00493017"/>
    <w:rsid w:val="00493423"/>
    <w:rsid w:val="00493BA6"/>
    <w:rsid w:val="0049400F"/>
    <w:rsid w:val="00494F91"/>
    <w:rsid w:val="004956B4"/>
    <w:rsid w:val="00496671"/>
    <w:rsid w:val="00496AD1"/>
    <w:rsid w:val="00496B08"/>
    <w:rsid w:val="0049719D"/>
    <w:rsid w:val="00497A13"/>
    <w:rsid w:val="004A1084"/>
    <w:rsid w:val="004A1FDA"/>
    <w:rsid w:val="004A25B5"/>
    <w:rsid w:val="004A2BCD"/>
    <w:rsid w:val="004A2E0A"/>
    <w:rsid w:val="004A3958"/>
    <w:rsid w:val="004A3D5F"/>
    <w:rsid w:val="004A5FAF"/>
    <w:rsid w:val="004A639A"/>
    <w:rsid w:val="004A6B87"/>
    <w:rsid w:val="004A7420"/>
    <w:rsid w:val="004B080A"/>
    <w:rsid w:val="004B09D2"/>
    <w:rsid w:val="004B0CA4"/>
    <w:rsid w:val="004B1C78"/>
    <w:rsid w:val="004B44A0"/>
    <w:rsid w:val="004B4731"/>
    <w:rsid w:val="004B5240"/>
    <w:rsid w:val="004B5D76"/>
    <w:rsid w:val="004B6D7F"/>
    <w:rsid w:val="004B7094"/>
    <w:rsid w:val="004C0B0C"/>
    <w:rsid w:val="004C176B"/>
    <w:rsid w:val="004C2E16"/>
    <w:rsid w:val="004C402B"/>
    <w:rsid w:val="004C444E"/>
    <w:rsid w:val="004C450B"/>
    <w:rsid w:val="004C63AA"/>
    <w:rsid w:val="004C6A78"/>
    <w:rsid w:val="004C6CB7"/>
    <w:rsid w:val="004C6EAD"/>
    <w:rsid w:val="004C70C6"/>
    <w:rsid w:val="004C74B4"/>
    <w:rsid w:val="004C772E"/>
    <w:rsid w:val="004D001F"/>
    <w:rsid w:val="004D0554"/>
    <w:rsid w:val="004D1244"/>
    <w:rsid w:val="004D1862"/>
    <w:rsid w:val="004D2B36"/>
    <w:rsid w:val="004D3957"/>
    <w:rsid w:val="004D3EF8"/>
    <w:rsid w:val="004D3FE6"/>
    <w:rsid w:val="004D3FEB"/>
    <w:rsid w:val="004D4C33"/>
    <w:rsid w:val="004D4E4C"/>
    <w:rsid w:val="004D58CD"/>
    <w:rsid w:val="004D67F4"/>
    <w:rsid w:val="004D7384"/>
    <w:rsid w:val="004E1E47"/>
    <w:rsid w:val="004E352B"/>
    <w:rsid w:val="004E5C37"/>
    <w:rsid w:val="004E7562"/>
    <w:rsid w:val="004E79AB"/>
    <w:rsid w:val="004E7C22"/>
    <w:rsid w:val="004E7E0B"/>
    <w:rsid w:val="004F167E"/>
    <w:rsid w:val="004F20FA"/>
    <w:rsid w:val="004F34AF"/>
    <w:rsid w:val="004F37AE"/>
    <w:rsid w:val="004F3B95"/>
    <w:rsid w:val="004F3D96"/>
    <w:rsid w:val="004F3E05"/>
    <w:rsid w:val="004F451A"/>
    <w:rsid w:val="004F45D9"/>
    <w:rsid w:val="004F573E"/>
    <w:rsid w:val="004F5B15"/>
    <w:rsid w:val="004F6022"/>
    <w:rsid w:val="004F6502"/>
    <w:rsid w:val="004F7246"/>
    <w:rsid w:val="00501341"/>
    <w:rsid w:val="005014F2"/>
    <w:rsid w:val="00501F4D"/>
    <w:rsid w:val="0050207F"/>
    <w:rsid w:val="005024F6"/>
    <w:rsid w:val="00502CF3"/>
    <w:rsid w:val="0050314F"/>
    <w:rsid w:val="005039EB"/>
    <w:rsid w:val="00505597"/>
    <w:rsid w:val="0050691F"/>
    <w:rsid w:val="00506E44"/>
    <w:rsid w:val="0051256A"/>
    <w:rsid w:val="005130FF"/>
    <w:rsid w:val="005133D8"/>
    <w:rsid w:val="0051387F"/>
    <w:rsid w:val="00513A76"/>
    <w:rsid w:val="005141D9"/>
    <w:rsid w:val="00514725"/>
    <w:rsid w:val="00514841"/>
    <w:rsid w:val="00515F7F"/>
    <w:rsid w:val="005173C5"/>
    <w:rsid w:val="00517B83"/>
    <w:rsid w:val="00517BD1"/>
    <w:rsid w:val="0052286E"/>
    <w:rsid w:val="00523626"/>
    <w:rsid w:val="0052373C"/>
    <w:rsid w:val="00526310"/>
    <w:rsid w:val="0052672F"/>
    <w:rsid w:val="00526DF6"/>
    <w:rsid w:val="00526F6B"/>
    <w:rsid w:val="00527945"/>
    <w:rsid w:val="00530149"/>
    <w:rsid w:val="005309EA"/>
    <w:rsid w:val="00531469"/>
    <w:rsid w:val="0053156A"/>
    <w:rsid w:val="00531FF5"/>
    <w:rsid w:val="00532875"/>
    <w:rsid w:val="005336D0"/>
    <w:rsid w:val="00533F0E"/>
    <w:rsid w:val="00535D2F"/>
    <w:rsid w:val="00535E39"/>
    <w:rsid w:val="00537BC4"/>
    <w:rsid w:val="00540291"/>
    <w:rsid w:val="00540495"/>
    <w:rsid w:val="005412B7"/>
    <w:rsid w:val="005420F1"/>
    <w:rsid w:val="00542369"/>
    <w:rsid w:val="00543D64"/>
    <w:rsid w:val="00543FAC"/>
    <w:rsid w:val="00544C72"/>
    <w:rsid w:val="0054523A"/>
    <w:rsid w:val="00545786"/>
    <w:rsid w:val="00546857"/>
    <w:rsid w:val="005477E3"/>
    <w:rsid w:val="00551205"/>
    <w:rsid w:val="00551E6E"/>
    <w:rsid w:val="0055348F"/>
    <w:rsid w:val="00553EC7"/>
    <w:rsid w:val="0055667E"/>
    <w:rsid w:val="005576EC"/>
    <w:rsid w:val="00557BD0"/>
    <w:rsid w:val="00560BD5"/>
    <w:rsid w:val="00561B81"/>
    <w:rsid w:val="00562138"/>
    <w:rsid w:val="005626DE"/>
    <w:rsid w:val="00564790"/>
    <w:rsid w:val="005668D4"/>
    <w:rsid w:val="00566E79"/>
    <w:rsid w:val="0056769A"/>
    <w:rsid w:val="0057079C"/>
    <w:rsid w:val="00571604"/>
    <w:rsid w:val="005727B8"/>
    <w:rsid w:val="005736AD"/>
    <w:rsid w:val="00573AD9"/>
    <w:rsid w:val="0057401A"/>
    <w:rsid w:val="00574079"/>
    <w:rsid w:val="00575301"/>
    <w:rsid w:val="00575516"/>
    <w:rsid w:val="0057579B"/>
    <w:rsid w:val="00576215"/>
    <w:rsid w:val="0058085D"/>
    <w:rsid w:val="00580CA0"/>
    <w:rsid w:val="00580D4C"/>
    <w:rsid w:val="00582899"/>
    <w:rsid w:val="005830D5"/>
    <w:rsid w:val="00583C4C"/>
    <w:rsid w:val="00583D9B"/>
    <w:rsid w:val="00583DD7"/>
    <w:rsid w:val="00584241"/>
    <w:rsid w:val="0058490D"/>
    <w:rsid w:val="00585500"/>
    <w:rsid w:val="005859D3"/>
    <w:rsid w:val="005874CB"/>
    <w:rsid w:val="00587704"/>
    <w:rsid w:val="00587721"/>
    <w:rsid w:val="00591C88"/>
    <w:rsid w:val="00592371"/>
    <w:rsid w:val="00592904"/>
    <w:rsid w:val="005943C3"/>
    <w:rsid w:val="005946B6"/>
    <w:rsid w:val="005946FA"/>
    <w:rsid w:val="00594943"/>
    <w:rsid w:val="00594C9D"/>
    <w:rsid w:val="00594E66"/>
    <w:rsid w:val="00595063"/>
    <w:rsid w:val="0059542B"/>
    <w:rsid w:val="00597A07"/>
    <w:rsid w:val="00597BD2"/>
    <w:rsid w:val="005A0920"/>
    <w:rsid w:val="005A18D8"/>
    <w:rsid w:val="005A1DA3"/>
    <w:rsid w:val="005A237E"/>
    <w:rsid w:val="005A2561"/>
    <w:rsid w:val="005A3477"/>
    <w:rsid w:val="005A5440"/>
    <w:rsid w:val="005A757C"/>
    <w:rsid w:val="005A7A4E"/>
    <w:rsid w:val="005B002A"/>
    <w:rsid w:val="005B05BF"/>
    <w:rsid w:val="005B0E4A"/>
    <w:rsid w:val="005B0F96"/>
    <w:rsid w:val="005B13B9"/>
    <w:rsid w:val="005B1BFB"/>
    <w:rsid w:val="005B2857"/>
    <w:rsid w:val="005B351F"/>
    <w:rsid w:val="005B35A5"/>
    <w:rsid w:val="005B4431"/>
    <w:rsid w:val="005B6A61"/>
    <w:rsid w:val="005B6B3F"/>
    <w:rsid w:val="005B77AE"/>
    <w:rsid w:val="005B7D88"/>
    <w:rsid w:val="005C00FA"/>
    <w:rsid w:val="005C2646"/>
    <w:rsid w:val="005C27D3"/>
    <w:rsid w:val="005C3005"/>
    <w:rsid w:val="005C3D80"/>
    <w:rsid w:val="005C440F"/>
    <w:rsid w:val="005C4781"/>
    <w:rsid w:val="005C4A1E"/>
    <w:rsid w:val="005C54D8"/>
    <w:rsid w:val="005C5550"/>
    <w:rsid w:val="005C6B53"/>
    <w:rsid w:val="005C7163"/>
    <w:rsid w:val="005C7721"/>
    <w:rsid w:val="005C7EE6"/>
    <w:rsid w:val="005D1CCB"/>
    <w:rsid w:val="005D2140"/>
    <w:rsid w:val="005D2C24"/>
    <w:rsid w:val="005D2CC9"/>
    <w:rsid w:val="005D339A"/>
    <w:rsid w:val="005D358C"/>
    <w:rsid w:val="005D3B89"/>
    <w:rsid w:val="005D449E"/>
    <w:rsid w:val="005D5424"/>
    <w:rsid w:val="005D549B"/>
    <w:rsid w:val="005D5CCC"/>
    <w:rsid w:val="005D63C7"/>
    <w:rsid w:val="005D664E"/>
    <w:rsid w:val="005D688A"/>
    <w:rsid w:val="005D6C32"/>
    <w:rsid w:val="005D6DE7"/>
    <w:rsid w:val="005D71B2"/>
    <w:rsid w:val="005D7656"/>
    <w:rsid w:val="005D7F78"/>
    <w:rsid w:val="005E0ECC"/>
    <w:rsid w:val="005E177C"/>
    <w:rsid w:val="005E2B00"/>
    <w:rsid w:val="005E2CD7"/>
    <w:rsid w:val="005E341D"/>
    <w:rsid w:val="005E34E0"/>
    <w:rsid w:val="005E4F50"/>
    <w:rsid w:val="005E5D6D"/>
    <w:rsid w:val="005E77A1"/>
    <w:rsid w:val="005E7B2F"/>
    <w:rsid w:val="005F0365"/>
    <w:rsid w:val="005F1C14"/>
    <w:rsid w:val="005F21C4"/>
    <w:rsid w:val="005F68F4"/>
    <w:rsid w:val="005F70DA"/>
    <w:rsid w:val="00600D61"/>
    <w:rsid w:val="00600F6D"/>
    <w:rsid w:val="0060551B"/>
    <w:rsid w:val="0060580C"/>
    <w:rsid w:val="00605B5A"/>
    <w:rsid w:val="00605CC6"/>
    <w:rsid w:val="00605F58"/>
    <w:rsid w:val="00606384"/>
    <w:rsid w:val="00606609"/>
    <w:rsid w:val="00606731"/>
    <w:rsid w:val="006072FC"/>
    <w:rsid w:val="006118FD"/>
    <w:rsid w:val="00611EEA"/>
    <w:rsid w:val="006130F7"/>
    <w:rsid w:val="00613147"/>
    <w:rsid w:val="006131A7"/>
    <w:rsid w:val="00613590"/>
    <w:rsid w:val="00614AFA"/>
    <w:rsid w:val="006155BE"/>
    <w:rsid w:val="00616BC1"/>
    <w:rsid w:val="00616BE2"/>
    <w:rsid w:val="0062021A"/>
    <w:rsid w:val="006214A1"/>
    <w:rsid w:val="00621856"/>
    <w:rsid w:val="00622C7B"/>
    <w:rsid w:val="00622DE2"/>
    <w:rsid w:val="00623C7D"/>
    <w:rsid w:val="00623E5F"/>
    <w:rsid w:val="0062464C"/>
    <w:rsid w:val="00624BB5"/>
    <w:rsid w:val="006252AF"/>
    <w:rsid w:val="0062568F"/>
    <w:rsid w:val="00626035"/>
    <w:rsid w:val="00626EB9"/>
    <w:rsid w:val="006278DB"/>
    <w:rsid w:val="00627C3C"/>
    <w:rsid w:val="00627E12"/>
    <w:rsid w:val="00630E62"/>
    <w:rsid w:val="00632542"/>
    <w:rsid w:val="006326E3"/>
    <w:rsid w:val="006327CA"/>
    <w:rsid w:val="00632B49"/>
    <w:rsid w:val="00632E37"/>
    <w:rsid w:val="006349A7"/>
    <w:rsid w:val="00634D50"/>
    <w:rsid w:val="00634D7E"/>
    <w:rsid w:val="00635EF0"/>
    <w:rsid w:val="00637B57"/>
    <w:rsid w:val="00640CE6"/>
    <w:rsid w:val="00640D2A"/>
    <w:rsid w:val="00640DFC"/>
    <w:rsid w:val="00641DAC"/>
    <w:rsid w:val="00642F57"/>
    <w:rsid w:val="00642FF2"/>
    <w:rsid w:val="006450C1"/>
    <w:rsid w:val="0064588C"/>
    <w:rsid w:val="006463EA"/>
    <w:rsid w:val="00646F4D"/>
    <w:rsid w:val="00647AD4"/>
    <w:rsid w:val="00647C2B"/>
    <w:rsid w:val="006503AE"/>
    <w:rsid w:val="00651DED"/>
    <w:rsid w:val="00651FCD"/>
    <w:rsid w:val="00653191"/>
    <w:rsid w:val="0065393A"/>
    <w:rsid w:val="00653E2E"/>
    <w:rsid w:val="00654D8F"/>
    <w:rsid w:val="00655216"/>
    <w:rsid w:val="00655555"/>
    <w:rsid w:val="00655929"/>
    <w:rsid w:val="00655ADB"/>
    <w:rsid w:val="00656080"/>
    <w:rsid w:val="00656743"/>
    <w:rsid w:val="00656D03"/>
    <w:rsid w:val="006601FD"/>
    <w:rsid w:val="00660366"/>
    <w:rsid w:val="006606DC"/>
    <w:rsid w:val="006622AB"/>
    <w:rsid w:val="006643C8"/>
    <w:rsid w:val="006650DF"/>
    <w:rsid w:val="00665430"/>
    <w:rsid w:val="0066563B"/>
    <w:rsid w:val="00665CCE"/>
    <w:rsid w:val="00665E82"/>
    <w:rsid w:val="00666368"/>
    <w:rsid w:val="00667097"/>
    <w:rsid w:val="0066791C"/>
    <w:rsid w:val="006719B1"/>
    <w:rsid w:val="006719E9"/>
    <w:rsid w:val="0067248D"/>
    <w:rsid w:val="006733DC"/>
    <w:rsid w:val="006747B0"/>
    <w:rsid w:val="00675F8B"/>
    <w:rsid w:val="00676559"/>
    <w:rsid w:val="0067662D"/>
    <w:rsid w:val="006778D6"/>
    <w:rsid w:val="00677F63"/>
    <w:rsid w:val="006807C4"/>
    <w:rsid w:val="00681877"/>
    <w:rsid w:val="00681C9C"/>
    <w:rsid w:val="00682A35"/>
    <w:rsid w:val="00683082"/>
    <w:rsid w:val="00683413"/>
    <w:rsid w:val="0068409A"/>
    <w:rsid w:val="006844F8"/>
    <w:rsid w:val="006849BB"/>
    <w:rsid w:val="006860DA"/>
    <w:rsid w:val="006879E2"/>
    <w:rsid w:val="006905B0"/>
    <w:rsid w:val="0069060F"/>
    <w:rsid w:val="00693A9F"/>
    <w:rsid w:val="0069404C"/>
    <w:rsid w:val="00694E48"/>
    <w:rsid w:val="00695091"/>
    <w:rsid w:val="006950D0"/>
    <w:rsid w:val="006957DC"/>
    <w:rsid w:val="00695E16"/>
    <w:rsid w:val="00695F04"/>
    <w:rsid w:val="0069625E"/>
    <w:rsid w:val="00697F66"/>
    <w:rsid w:val="006A2055"/>
    <w:rsid w:val="006A5458"/>
    <w:rsid w:val="006A5921"/>
    <w:rsid w:val="006A5B98"/>
    <w:rsid w:val="006A70E9"/>
    <w:rsid w:val="006A73B7"/>
    <w:rsid w:val="006A7449"/>
    <w:rsid w:val="006A77CA"/>
    <w:rsid w:val="006A784B"/>
    <w:rsid w:val="006B062E"/>
    <w:rsid w:val="006B0DFE"/>
    <w:rsid w:val="006B1239"/>
    <w:rsid w:val="006B16EA"/>
    <w:rsid w:val="006B2C3E"/>
    <w:rsid w:val="006B2CCD"/>
    <w:rsid w:val="006B4523"/>
    <w:rsid w:val="006B47EA"/>
    <w:rsid w:val="006B7F24"/>
    <w:rsid w:val="006C0417"/>
    <w:rsid w:val="006C0587"/>
    <w:rsid w:val="006C2B81"/>
    <w:rsid w:val="006C2FCD"/>
    <w:rsid w:val="006C321A"/>
    <w:rsid w:val="006C3482"/>
    <w:rsid w:val="006C3E66"/>
    <w:rsid w:val="006C44CC"/>
    <w:rsid w:val="006C4A1A"/>
    <w:rsid w:val="006C4E39"/>
    <w:rsid w:val="006C5BA3"/>
    <w:rsid w:val="006C68E0"/>
    <w:rsid w:val="006C6D1E"/>
    <w:rsid w:val="006C7F33"/>
    <w:rsid w:val="006D0786"/>
    <w:rsid w:val="006D0956"/>
    <w:rsid w:val="006D2370"/>
    <w:rsid w:val="006D5F71"/>
    <w:rsid w:val="006D76F6"/>
    <w:rsid w:val="006D7FB8"/>
    <w:rsid w:val="006E0634"/>
    <w:rsid w:val="006E0716"/>
    <w:rsid w:val="006E1C4E"/>
    <w:rsid w:val="006E2142"/>
    <w:rsid w:val="006E25B3"/>
    <w:rsid w:val="006E2788"/>
    <w:rsid w:val="006E2C6A"/>
    <w:rsid w:val="006E2F94"/>
    <w:rsid w:val="006E4D6F"/>
    <w:rsid w:val="006E5DFF"/>
    <w:rsid w:val="006E6096"/>
    <w:rsid w:val="006E65ED"/>
    <w:rsid w:val="006E748A"/>
    <w:rsid w:val="006F0732"/>
    <w:rsid w:val="006F0807"/>
    <w:rsid w:val="006F1B8A"/>
    <w:rsid w:val="006F3165"/>
    <w:rsid w:val="006F3356"/>
    <w:rsid w:val="006F38CF"/>
    <w:rsid w:val="006F3EB6"/>
    <w:rsid w:val="006F46E8"/>
    <w:rsid w:val="006F4AA1"/>
    <w:rsid w:val="006F5276"/>
    <w:rsid w:val="006F5777"/>
    <w:rsid w:val="006F649E"/>
    <w:rsid w:val="006F7B5C"/>
    <w:rsid w:val="00701398"/>
    <w:rsid w:val="007014EE"/>
    <w:rsid w:val="00701D2E"/>
    <w:rsid w:val="00702177"/>
    <w:rsid w:val="00702734"/>
    <w:rsid w:val="0070312B"/>
    <w:rsid w:val="00704D3D"/>
    <w:rsid w:val="00710058"/>
    <w:rsid w:val="00710909"/>
    <w:rsid w:val="00711489"/>
    <w:rsid w:val="007114F0"/>
    <w:rsid w:val="00712194"/>
    <w:rsid w:val="007121BD"/>
    <w:rsid w:val="00712497"/>
    <w:rsid w:val="0071381A"/>
    <w:rsid w:val="00713C71"/>
    <w:rsid w:val="00714BB3"/>
    <w:rsid w:val="00714C9D"/>
    <w:rsid w:val="00717982"/>
    <w:rsid w:val="00717AB6"/>
    <w:rsid w:val="00717BEA"/>
    <w:rsid w:val="00717C47"/>
    <w:rsid w:val="007206B3"/>
    <w:rsid w:val="0072096F"/>
    <w:rsid w:val="00722471"/>
    <w:rsid w:val="00722BC3"/>
    <w:rsid w:val="00722FBD"/>
    <w:rsid w:val="007230B7"/>
    <w:rsid w:val="00723CA0"/>
    <w:rsid w:val="00724CC3"/>
    <w:rsid w:val="00726204"/>
    <w:rsid w:val="00726AD9"/>
    <w:rsid w:val="00730316"/>
    <w:rsid w:val="00730BA8"/>
    <w:rsid w:val="00731377"/>
    <w:rsid w:val="00731D0C"/>
    <w:rsid w:val="007325D8"/>
    <w:rsid w:val="00732750"/>
    <w:rsid w:val="00732955"/>
    <w:rsid w:val="00732B69"/>
    <w:rsid w:val="00732CCC"/>
    <w:rsid w:val="00733CC5"/>
    <w:rsid w:val="00735FA3"/>
    <w:rsid w:val="00737B0F"/>
    <w:rsid w:val="00737CDB"/>
    <w:rsid w:val="007402FE"/>
    <w:rsid w:val="00740514"/>
    <w:rsid w:val="00740D55"/>
    <w:rsid w:val="00743E42"/>
    <w:rsid w:val="00744CE4"/>
    <w:rsid w:val="007450F8"/>
    <w:rsid w:val="007452AF"/>
    <w:rsid w:val="00746297"/>
    <w:rsid w:val="00746A83"/>
    <w:rsid w:val="00746F3F"/>
    <w:rsid w:val="007476CF"/>
    <w:rsid w:val="00747ECF"/>
    <w:rsid w:val="00747FB9"/>
    <w:rsid w:val="00750E9B"/>
    <w:rsid w:val="00751D61"/>
    <w:rsid w:val="0075299F"/>
    <w:rsid w:val="007535E0"/>
    <w:rsid w:val="007538A2"/>
    <w:rsid w:val="00755169"/>
    <w:rsid w:val="007559BC"/>
    <w:rsid w:val="00757779"/>
    <w:rsid w:val="007577E6"/>
    <w:rsid w:val="00764D2A"/>
    <w:rsid w:val="00766DA7"/>
    <w:rsid w:val="00767368"/>
    <w:rsid w:val="00770C1C"/>
    <w:rsid w:val="00771EE2"/>
    <w:rsid w:val="00773222"/>
    <w:rsid w:val="007733E3"/>
    <w:rsid w:val="0077388C"/>
    <w:rsid w:val="00774046"/>
    <w:rsid w:val="00775071"/>
    <w:rsid w:val="00775889"/>
    <w:rsid w:val="00775C9F"/>
    <w:rsid w:val="0077679F"/>
    <w:rsid w:val="007767F9"/>
    <w:rsid w:val="00782212"/>
    <w:rsid w:val="00782554"/>
    <w:rsid w:val="00782700"/>
    <w:rsid w:val="00784123"/>
    <w:rsid w:val="007849B1"/>
    <w:rsid w:val="00784A47"/>
    <w:rsid w:val="00785ADB"/>
    <w:rsid w:val="0078673B"/>
    <w:rsid w:val="00786ABF"/>
    <w:rsid w:val="00787134"/>
    <w:rsid w:val="00787B12"/>
    <w:rsid w:val="00790302"/>
    <w:rsid w:val="00790E91"/>
    <w:rsid w:val="00790FF2"/>
    <w:rsid w:val="007912C9"/>
    <w:rsid w:val="007916AE"/>
    <w:rsid w:val="00791850"/>
    <w:rsid w:val="007920A9"/>
    <w:rsid w:val="007936F3"/>
    <w:rsid w:val="00794068"/>
    <w:rsid w:val="007942DA"/>
    <w:rsid w:val="00794B32"/>
    <w:rsid w:val="00794C68"/>
    <w:rsid w:val="0079576E"/>
    <w:rsid w:val="00796F83"/>
    <w:rsid w:val="007A0AEB"/>
    <w:rsid w:val="007A198F"/>
    <w:rsid w:val="007A1B7E"/>
    <w:rsid w:val="007A1F64"/>
    <w:rsid w:val="007A29EA"/>
    <w:rsid w:val="007A2F07"/>
    <w:rsid w:val="007A307F"/>
    <w:rsid w:val="007A43D7"/>
    <w:rsid w:val="007A5D0E"/>
    <w:rsid w:val="007A5EDF"/>
    <w:rsid w:val="007A668C"/>
    <w:rsid w:val="007A6CC3"/>
    <w:rsid w:val="007A7992"/>
    <w:rsid w:val="007B0947"/>
    <w:rsid w:val="007B0B83"/>
    <w:rsid w:val="007B2793"/>
    <w:rsid w:val="007B2DC5"/>
    <w:rsid w:val="007B5A92"/>
    <w:rsid w:val="007B6C79"/>
    <w:rsid w:val="007B6CAB"/>
    <w:rsid w:val="007C1ABC"/>
    <w:rsid w:val="007C1E8F"/>
    <w:rsid w:val="007C233A"/>
    <w:rsid w:val="007C2537"/>
    <w:rsid w:val="007C3C0D"/>
    <w:rsid w:val="007C3E7C"/>
    <w:rsid w:val="007C4D72"/>
    <w:rsid w:val="007C56D6"/>
    <w:rsid w:val="007C5955"/>
    <w:rsid w:val="007C6AB4"/>
    <w:rsid w:val="007C7479"/>
    <w:rsid w:val="007C7650"/>
    <w:rsid w:val="007D184C"/>
    <w:rsid w:val="007D24F3"/>
    <w:rsid w:val="007D40BA"/>
    <w:rsid w:val="007D40BB"/>
    <w:rsid w:val="007D4526"/>
    <w:rsid w:val="007D4B1D"/>
    <w:rsid w:val="007D4F85"/>
    <w:rsid w:val="007D5BA4"/>
    <w:rsid w:val="007D694E"/>
    <w:rsid w:val="007D6A03"/>
    <w:rsid w:val="007E052D"/>
    <w:rsid w:val="007E07ED"/>
    <w:rsid w:val="007E0995"/>
    <w:rsid w:val="007E1E50"/>
    <w:rsid w:val="007E2FDD"/>
    <w:rsid w:val="007E3DDF"/>
    <w:rsid w:val="007E4E4A"/>
    <w:rsid w:val="007E5907"/>
    <w:rsid w:val="007E65E0"/>
    <w:rsid w:val="007E6A97"/>
    <w:rsid w:val="007E6CEA"/>
    <w:rsid w:val="007F01E7"/>
    <w:rsid w:val="007F1499"/>
    <w:rsid w:val="007F1782"/>
    <w:rsid w:val="007F346B"/>
    <w:rsid w:val="007F3C89"/>
    <w:rsid w:val="007F5547"/>
    <w:rsid w:val="007F70AC"/>
    <w:rsid w:val="007F7259"/>
    <w:rsid w:val="007F739A"/>
    <w:rsid w:val="007F7B2F"/>
    <w:rsid w:val="00800140"/>
    <w:rsid w:val="0080047B"/>
    <w:rsid w:val="00801AEF"/>
    <w:rsid w:val="00802987"/>
    <w:rsid w:val="00802A1E"/>
    <w:rsid w:val="00803ECE"/>
    <w:rsid w:val="00805142"/>
    <w:rsid w:val="00805BAE"/>
    <w:rsid w:val="00805E28"/>
    <w:rsid w:val="00805E4C"/>
    <w:rsid w:val="00806F58"/>
    <w:rsid w:val="00810016"/>
    <w:rsid w:val="008104D5"/>
    <w:rsid w:val="00810D25"/>
    <w:rsid w:val="008113CC"/>
    <w:rsid w:val="008114DC"/>
    <w:rsid w:val="00811830"/>
    <w:rsid w:val="00811AFB"/>
    <w:rsid w:val="00811D81"/>
    <w:rsid w:val="008131BE"/>
    <w:rsid w:val="00813F9B"/>
    <w:rsid w:val="00814A46"/>
    <w:rsid w:val="00815249"/>
    <w:rsid w:val="00820299"/>
    <w:rsid w:val="008203B5"/>
    <w:rsid w:val="00820483"/>
    <w:rsid w:val="008207BB"/>
    <w:rsid w:val="00820ACE"/>
    <w:rsid w:val="0082116D"/>
    <w:rsid w:val="00822473"/>
    <w:rsid w:val="00822626"/>
    <w:rsid w:val="008226F3"/>
    <w:rsid w:val="0082281A"/>
    <w:rsid w:val="00822C41"/>
    <w:rsid w:val="00823318"/>
    <w:rsid w:val="00823FB4"/>
    <w:rsid w:val="00824736"/>
    <w:rsid w:val="0082495C"/>
    <w:rsid w:val="00825306"/>
    <w:rsid w:val="0082647C"/>
    <w:rsid w:val="00826806"/>
    <w:rsid w:val="00830D69"/>
    <w:rsid w:val="00831DD1"/>
    <w:rsid w:val="00832570"/>
    <w:rsid w:val="0083371A"/>
    <w:rsid w:val="008351BE"/>
    <w:rsid w:val="0083664B"/>
    <w:rsid w:val="00837163"/>
    <w:rsid w:val="00837B1E"/>
    <w:rsid w:val="00840292"/>
    <w:rsid w:val="008437C2"/>
    <w:rsid w:val="00843CB6"/>
    <w:rsid w:val="008443C7"/>
    <w:rsid w:val="00845325"/>
    <w:rsid w:val="00846767"/>
    <w:rsid w:val="008471EF"/>
    <w:rsid w:val="00847428"/>
    <w:rsid w:val="00847D0F"/>
    <w:rsid w:val="00850D44"/>
    <w:rsid w:val="00850F87"/>
    <w:rsid w:val="00851C48"/>
    <w:rsid w:val="00851EBB"/>
    <w:rsid w:val="00852258"/>
    <w:rsid w:val="0085232F"/>
    <w:rsid w:val="00852C6F"/>
    <w:rsid w:val="00852FA0"/>
    <w:rsid w:val="00853454"/>
    <w:rsid w:val="00853E44"/>
    <w:rsid w:val="008540E6"/>
    <w:rsid w:val="0085438F"/>
    <w:rsid w:val="00855639"/>
    <w:rsid w:val="008559B1"/>
    <w:rsid w:val="00855A22"/>
    <w:rsid w:val="00856E3D"/>
    <w:rsid w:val="0085742E"/>
    <w:rsid w:val="00857E35"/>
    <w:rsid w:val="00860308"/>
    <w:rsid w:val="0086158C"/>
    <w:rsid w:val="008615E9"/>
    <w:rsid w:val="0086162F"/>
    <w:rsid w:val="008624D4"/>
    <w:rsid w:val="008627CC"/>
    <w:rsid w:val="00862C45"/>
    <w:rsid w:val="00862E92"/>
    <w:rsid w:val="00864F7C"/>
    <w:rsid w:val="008661B6"/>
    <w:rsid w:val="0086643B"/>
    <w:rsid w:val="00866DBA"/>
    <w:rsid w:val="00866E95"/>
    <w:rsid w:val="00867A26"/>
    <w:rsid w:val="008708FD"/>
    <w:rsid w:val="008714CE"/>
    <w:rsid w:val="00872D50"/>
    <w:rsid w:val="008737FC"/>
    <w:rsid w:val="008743F4"/>
    <w:rsid w:val="00874714"/>
    <w:rsid w:val="00874947"/>
    <w:rsid w:val="00874B3F"/>
    <w:rsid w:val="00874FFC"/>
    <w:rsid w:val="0087593D"/>
    <w:rsid w:val="008763CB"/>
    <w:rsid w:val="00880086"/>
    <w:rsid w:val="0088032B"/>
    <w:rsid w:val="008804EF"/>
    <w:rsid w:val="00880DFC"/>
    <w:rsid w:val="008815DD"/>
    <w:rsid w:val="008817AD"/>
    <w:rsid w:val="008818F5"/>
    <w:rsid w:val="00881C68"/>
    <w:rsid w:val="00882500"/>
    <w:rsid w:val="00882A52"/>
    <w:rsid w:val="00882CFB"/>
    <w:rsid w:val="00882DC2"/>
    <w:rsid w:val="00885CC1"/>
    <w:rsid w:val="00886781"/>
    <w:rsid w:val="00886CFD"/>
    <w:rsid w:val="00886DE0"/>
    <w:rsid w:val="008871F1"/>
    <w:rsid w:val="008876F7"/>
    <w:rsid w:val="00891949"/>
    <w:rsid w:val="00892503"/>
    <w:rsid w:val="00893144"/>
    <w:rsid w:val="00895EA9"/>
    <w:rsid w:val="008976E5"/>
    <w:rsid w:val="0089796F"/>
    <w:rsid w:val="008A073B"/>
    <w:rsid w:val="008A1DE1"/>
    <w:rsid w:val="008A249E"/>
    <w:rsid w:val="008A308A"/>
    <w:rsid w:val="008A3423"/>
    <w:rsid w:val="008A6852"/>
    <w:rsid w:val="008A68A1"/>
    <w:rsid w:val="008A68FA"/>
    <w:rsid w:val="008A6F7F"/>
    <w:rsid w:val="008A73B0"/>
    <w:rsid w:val="008A7D24"/>
    <w:rsid w:val="008A7ECF"/>
    <w:rsid w:val="008B121F"/>
    <w:rsid w:val="008B1D24"/>
    <w:rsid w:val="008B2B8D"/>
    <w:rsid w:val="008B2D2C"/>
    <w:rsid w:val="008B475A"/>
    <w:rsid w:val="008B59EE"/>
    <w:rsid w:val="008B67C1"/>
    <w:rsid w:val="008B712F"/>
    <w:rsid w:val="008B7289"/>
    <w:rsid w:val="008B75E1"/>
    <w:rsid w:val="008C0EDC"/>
    <w:rsid w:val="008C1268"/>
    <w:rsid w:val="008C1C7A"/>
    <w:rsid w:val="008C1FC8"/>
    <w:rsid w:val="008C217A"/>
    <w:rsid w:val="008C3536"/>
    <w:rsid w:val="008C37B7"/>
    <w:rsid w:val="008C43C7"/>
    <w:rsid w:val="008C484C"/>
    <w:rsid w:val="008C517D"/>
    <w:rsid w:val="008D0ED8"/>
    <w:rsid w:val="008D1DFD"/>
    <w:rsid w:val="008D2ABF"/>
    <w:rsid w:val="008D33BC"/>
    <w:rsid w:val="008D3C4D"/>
    <w:rsid w:val="008D3FC3"/>
    <w:rsid w:val="008D4917"/>
    <w:rsid w:val="008D6102"/>
    <w:rsid w:val="008D671D"/>
    <w:rsid w:val="008D7834"/>
    <w:rsid w:val="008E0058"/>
    <w:rsid w:val="008E0B61"/>
    <w:rsid w:val="008E1301"/>
    <w:rsid w:val="008E2252"/>
    <w:rsid w:val="008E3D60"/>
    <w:rsid w:val="008E440E"/>
    <w:rsid w:val="008E5141"/>
    <w:rsid w:val="008E5222"/>
    <w:rsid w:val="008E53CA"/>
    <w:rsid w:val="008E5EDE"/>
    <w:rsid w:val="008E6040"/>
    <w:rsid w:val="008E60A0"/>
    <w:rsid w:val="008E6A47"/>
    <w:rsid w:val="008E7A0E"/>
    <w:rsid w:val="008F0A2E"/>
    <w:rsid w:val="008F13C1"/>
    <w:rsid w:val="008F2EE5"/>
    <w:rsid w:val="008F3680"/>
    <w:rsid w:val="008F42FA"/>
    <w:rsid w:val="008F477C"/>
    <w:rsid w:val="008F4C06"/>
    <w:rsid w:val="008F5B57"/>
    <w:rsid w:val="008F6E0E"/>
    <w:rsid w:val="008F753E"/>
    <w:rsid w:val="008F7584"/>
    <w:rsid w:val="008F75D9"/>
    <w:rsid w:val="009007F7"/>
    <w:rsid w:val="00900AA0"/>
    <w:rsid w:val="009022B6"/>
    <w:rsid w:val="00903C1C"/>
    <w:rsid w:val="0090535C"/>
    <w:rsid w:val="0090716D"/>
    <w:rsid w:val="009073A3"/>
    <w:rsid w:val="00907680"/>
    <w:rsid w:val="00910A60"/>
    <w:rsid w:val="00910BF0"/>
    <w:rsid w:val="009116CD"/>
    <w:rsid w:val="00911ABC"/>
    <w:rsid w:val="00911F6A"/>
    <w:rsid w:val="00912D39"/>
    <w:rsid w:val="009132A8"/>
    <w:rsid w:val="00914926"/>
    <w:rsid w:val="009161C5"/>
    <w:rsid w:val="009163D7"/>
    <w:rsid w:val="00916FEB"/>
    <w:rsid w:val="009179BC"/>
    <w:rsid w:val="009203E5"/>
    <w:rsid w:val="00920610"/>
    <w:rsid w:val="00921CE8"/>
    <w:rsid w:val="00921E10"/>
    <w:rsid w:val="00922799"/>
    <w:rsid w:val="00923E2C"/>
    <w:rsid w:val="00923F19"/>
    <w:rsid w:val="00926390"/>
    <w:rsid w:val="009272A2"/>
    <w:rsid w:val="009276CE"/>
    <w:rsid w:val="009278AE"/>
    <w:rsid w:val="00930BAD"/>
    <w:rsid w:val="00930FEE"/>
    <w:rsid w:val="0093105A"/>
    <w:rsid w:val="00931308"/>
    <w:rsid w:val="0093168F"/>
    <w:rsid w:val="009324EA"/>
    <w:rsid w:val="00932C90"/>
    <w:rsid w:val="009330CE"/>
    <w:rsid w:val="00933745"/>
    <w:rsid w:val="009337C5"/>
    <w:rsid w:val="00934FCA"/>
    <w:rsid w:val="00935F7D"/>
    <w:rsid w:val="00937045"/>
    <w:rsid w:val="009370F3"/>
    <w:rsid w:val="00940612"/>
    <w:rsid w:val="00940706"/>
    <w:rsid w:val="00942D18"/>
    <w:rsid w:val="00942EE2"/>
    <w:rsid w:val="00943A04"/>
    <w:rsid w:val="00944458"/>
    <w:rsid w:val="00945E9A"/>
    <w:rsid w:val="00951E7B"/>
    <w:rsid w:val="00952428"/>
    <w:rsid w:val="0095346F"/>
    <w:rsid w:val="0095373B"/>
    <w:rsid w:val="009538B4"/>
    <w:rsid w:val="0095443C"/>
    <w:rsid w:val="00954A89"/>
    <w:rsid w:val="00955613"/>
    <w:rsid w:val="009562C7"/>
    <w:rsid w:val="00956A5F"/>
    <w:rsid w:val="0095796E"/>
    <w:rsid w:val="00960011"/>
    <w:rsid w:val="00960668"/>
    <w:rsid w:val="00961801"/>
    <w:rsid w:val="00961C94"/>
    <w:rsid w:val="00961F7A"/>
    <w:rsid w:val="00962B1B"/>
    <w:rsid w:val="00963FA1"/>
    <w:rsid w:val="009640DC"/>
    <w:rsid w:val="00964BB2"/>
    <w:rsid w:val="0096714D"/>
    <w:rsid w:val="00967FCE"/>
    <w:rsid w:val="009700F2"/>
    <w:rsid w:val="00970510"/>
    <w:rsid w:val="009705A1"/>
    <w:rsid w:val="009707F3"/>
    <w:rsid w:val="0097119C"/>
    <w:rsid w:val="00971D75"/>
    <w:rsid w:val="0097302F"/>
    <w:rsid w:val="00974E13"/>
    <w:rsid w:val="00981560"/>
    <w:rsid w:val="00982610"/>
    <w:rsid w:val="00985675"/>
    <w:rsid w:val="00986B5F"/>
    <w:rsid w:val="009874A1"/>
    <w:rsid w:val="009874ED"/>
    <w:rsid w:val="00987CF2"/>
    <w:rsid w:val="00990096"/>
    <w:rsid w:val="00990273"/>
    <w:rsid w:val="00990EB9"/>
    <w:rsid w:val="00992E8E"/>
    <w:rsid w:val="0099376A"/>
    <w:rsid w:val="00993E10"/>
    <w:rsid w:val="00994199"/>
    <w:rsid w:val="009958F7"/>
    <w:rsid w:val="00996309"/>
    <w:rsid w:val="00997151"/>
    <w:rsid w:val="009973B8"/>
    <w:rsid w:val="00997FF9"/>
    <w:rsid w:val="009A001D"/>
    <w:rsid w:val="009A06EC"/>
    <w:rsid w:val="009A19DD"/>
    <w:rsid w:val="009A372B"/>
    <w:rsid w:val="009A3D45"/>
    <w:rsid w:val="009A411A"/>
    <w:rsid w:val="009A52ED"/>
    <w:rsid w:val="009A5BA6"/>
    <w:rsid w:val="009A6319"/>
    <w:rsid w:val="009A725F"/>
    <w:rsid w:val="009B020B"/>
    <w:rsid w:val="009B04B9"/>
    <w:rsid w:val="009B136F"/>
    <w:rsid w:val="009B1942"/>
    <w:rsid w:val="009B1D4C"/>
    <w:rsid w:val="009B4C95"/>
    <w:rsid w:val="009B5716"/>
    <w:rsid w:val="009B5E41"/>
    <w:rsid w:val="009B5EE7"/>
    <w:rsid w:val="009C0017"/>
    <w:rsid w:val="009C02BC"/>
    <w:rsid w:val="009C1605"/>
    <w:rsid w:val="009C22A5"/>
    <w:rsid w:val="009C378A"/>
    <w:rsid w:val="009C4568"/>
    <w:rsid w:val="009C456E"/>
    <w:rsid w:val="009C4FCF"/>
    <w:rsid w:val="009C50CF"/>
    <w:rsid w:val="009C7352"/>
    <w:rsid w:val="009C7E69"/>
    <w:rsid w:val="009D01B2"/>
    <w:rsid w:val="009D06F6"/>
    <w:rsid w:val="009D125B"/>
    <w:rsid w:val="009D284C"/>
    <w:rsid w:val="009D2DEA"/>
    <w:rsid w:val="009D2ED6"/>
    <w:rsid w:val="009D368C"/>
    <w:rsid w:val="009D36B4"/>
    <w:rsid w:val="009D3FA2"/>
    <w:rsid w:val="009D4058"/>
    <w:rsid w:val="009D4076"/>
    <w:rsid w:val="009D4718"/>
    <w:rsid w:val="009D6969"/>
    <w:rsid w:val="009D7C97"/>
    <w:rsid w:val="009E0A4E"/>
    <w:rsid w:val="009E19DF"/>
    <w:rsid w:val="009E1C0C"/>
    <w:rsid w:val="009E1D77"/>
    <w:rsid w:val="009E37B9"/>
    <w:rsid w:val="009E46F8"/>
    <w:rsid w:val="009E64BC"/>
    <w:rsid w:val="009E67E5"/>
    <w:rsid w:val="009E7109"/>
    <w:rsid w:val="009E7375"/>
    <w:rsid w:val="009E75F8"/>
    <w:rsid w:val="009F0419"/>
    <w:rsid w:val="009F207A"/>
    <w:rsid w:val="009F2929"/>
    <w:rsid w:val="009F2A25"/>
    <w:rsid w:val="009F3FBB"/>
    <w:rsid w:val="009F4873"/>
    <w:rsid w:val="009F4E15"/>
    <w:rsid w:val="009F6217"/>
    <w:rsid w:val="009F63AF"/>
    <w:rsid w:val="009F70C7"/>
    <w:rsid w:val="00A01E6C"/>
    <w:rsid w:val="00A02131"/>
    <w:rsid w:val="00A0282B"/>
    <w:rsid w:val="00A05B7B"/>
    <w:rsid w:val="00A05DA2"/>
    <w:rsid w:val="00A06480"/>
    <w:rsid w:val="00A07554"/>
    <w:rsid w:val="00A10C94"/>
    <w:rsid w:val="00A11362"/>
    <w:rsid w:val="00A13AC1"/>
    <w:rsid w:val="00A157A3"/>
    <w:rsid w:val="00A20946"/>
    <w:rsid w:val="00A20A0A"/>
    <w:rsid w:val="00A20DCF"/>
    <w:rsid w:val="00A21B72"/>
    <w:rsid w:val="00A220C0"/>
    <w:rsid w:val="00A22344"/>
    <w:rsid w:val="00A2272E"/>
    <w:rsid w:val="00A23BA6"/>
    <w:rsid w:val="00A24C91"/>
    <w:rsid w:val="00A24CFA"/>
    <w:rsid w:val="00A24D69"/>
    <w:rsid w:val="00A25640"/>
    <w:rsid w:val="00A27D4E"/>
    <w:rsid w:val="00A3025D"/>
    <w:rsid w:val="00A30D64"/>
    <w:rsid w:val="00A30FAF"/>
    <w:rsid w:val="00A3187D"/>
    <w:rsid w:val="00A31B22"/>
    <w:rsid w:val="00A3283C"/>
    <w:rsid w:val="00A32A76"/>
    <w:rsid w:val="00A32EDD"/>
    <w:rsid w:val="00A34587"/>
    <w:rsid w:val="00A36285"/>
    <w:rsid w:val="00A363E6"/>
    <w:rsid w:val="00A368E6"/>
    <w:rsid w:val="00A37593"/>
    <w:rsid w:val="00A3797E"/>
    <w:rsid w:val="00A37EA1"/>
    <w:rsid w:val="00A37F3E"/>
    <w:rsid w:val="00A40127"/>
    <w:rsid w:val="00A4025B"/>
    <w:rsid w:val="00A40AF5"/>
    <w:rsid w:val="00A41C4C"/>
    <w:rsid w:val="00A41F7F"/>
    <w:rsid w:val="00A422ED"/>
    <w:rsid w:val="00A42B15"/>
    <w:rsid w:val="00A43F18"/>
    <w:rsid w:val="00A44008"/>
    <w:rsid w:val="00A44479"/>
    <w:rsid w:val="00A44D65"/>
    <w:rsid w:val="00A44E0C"/>
    <w:rsid w:val="00A45C2B"/>
    <w:rsid w:val="00A45E46"/>
    <w:rsid w:val="00A46EEB"/>
    <w:rsid w:val="00A47152"/>
    <w:rsid w:val="00A47DE2"/>
    <w:rsid w:val="00A5200B"/>
    <w:rsid w:val="00A52592"/>
    <w:rsid w:val="00A53307"/>
    <w:rsid w:val="00A53C55"/>
    <w:rsid w:val="00A53F39"/>
    <w:rsid w:val="00A5400C"/>
    <w:rsid w:val="00A55568"/>
    <w:rsid w:val="00A55D19"/>
    <w:rsid w:val="00A56720"/>
    <w:rsid w:val="00A57065"/>
    <w:rsid w:val="00A57502"/>
    <w:rsid w:val="00A6029F"/>
    <w:rsid w:val="00A6120E"/>
    <w:rsid w:val="00A6283D"/>
    <w:rsid w:val="00A63165"/>
    <w:rsid w:val="00A632D0"/>
    <w:rsid w:val="00A63611"/>
    <w:rsid w:val="00A63704"/>
    <w:rsid w:val="00A6379D"/>
    <w:rsid w:val="00A64011"/>
    <w:rsid w:val="00A6465F"/>
    <w:rsid w:val="00A65C42"/>
    <w:rsid w:val="00A65E8F"/>
    <w:rsid w:val="00A66383"/>
    <w:rsid w:val="00A664A1"/>
    <w:rsid w:val="00A67058"/>
    <w:rsid w:val="00A67E21"/>
    <w:rsid w:val="00A707C9"/>
    <w:rsid w:val="00A70F52"/>
    <w:rsid w:val="00A71876"/>
    <w:rsid w:val="00A72161"/>
    <w:rsid w:val="00A725E0"/>
    <w:rsid w:val="00A733BD"/>
    <w:rsid w:val="00A73D2E"/>
    <w:rsid w:val="00A740CD"/>
    <w:rsid w:val="00A7415A"/>
    <w:rsid w:val="00A74361"/>
    <w:rsid w:val="00A74DF1"/>
    <w:rsid w:val="00A74E0E"/>
    <w:rsid w:val="00A7732A"/>
    <w:rsid w:val="00A7763D"/>
    <w:rsid w:val="00A80B62"/>
    <w:rsid w:val="00A815C6"/>
    <w:rsid w:val="00A816B2"/>
    <w:rsid w:val="00A81955"/>
    <w:rsid w:val="00A823B2"/>
    <w:rsid w:val="00A823CC"/>
    <w:rsid w:val="00A823FA"/>
    <w:rsid w:val="00A82539"/>
    <w:rsid w:val="00A82E25"/>
    <w:rsid w:val="00A8414D"/>
    <w:rsid w:val="00A85202"/>
    <w:rsid w:val="00A9112C"/>
    <w:rsid w:val="00A91518"/>
    <w:rsid w:val="00A9162B"/>
    <w:rsid w:val="00A918FF"/>
    <w:rsid w:val="00A922AF"/>
    <w:rsid w:val="00A92EF5"/>
    <w:rsid w:val="00A93200"/>
    <w:rsid w:val="00A934CA"/>
    <w:rsid w:val="00A943FA"/>
    <w:rsid w:val="00A9537E"/>
    <w:rsid w:val="00A97A27"/>
    <w:rsid w:val="00A97CCD"/>
    <w:rsid w:val="00A97FCB"/>
    <w:rsid w:val="00AA0758"/>
    <w:rsid w:val="00AA0D5C"/>
    <w:rsid w:val="00AA2BE4"/>
    <w:rsid w:val="00AA4FDB"/>
    <w:rsid w:val="00AA5885"/>
    <w:rsid w:val="00AA5A19"/>
    <w:rsid w:val="00AA5EF2"/>
    <w:rsid w:val="00AA671C"/>
    <w:rsid w:val="00AA68A8"/>
    <w:rsid w:val="00AA7438"/>
    <w:rsid w:val="00AA7460"/>
    <w:rsid w:val="00AA77CD"/>
    <w:rsid w:val="00AB06AF"/>
    <w:rsid w:val="00AB2C39"/>
    <w:rsid w:val="00AB383D"/>
    <w:rsid w:val="00AB38A8"/>
    <w:rsid w:val="00AB50CE"/>
    <w:rsid w:val="00AB57F1"/>
    <w:rsid w:val="00AB6B1E"/>
    <w:rsid w:val="00AB6DD0"/>
    <w:rsid w:val="00AB6FF7"/>
    <w:rsid w:val="00AB77FD"/>
    <w:rsid w:val="00AB78B1"/>
    <w:rsid w:val="00AB7ED1"/>
    <w:rsid w:val="00AC0519"/>
    <w:rsid w:val="00AC1209"/>
    <w:rsid w:val="00AC1688"/>
    <w:rsid w:val="00AC186E"/>
    <w:rsid w:val="00AC1B29"/>
    <w:rsid w:val="00AC2223"/>
    <w:rsid w:val="00AC43CA"/>
    <w:rsid w:val="00AC4A67"/>
    <w:rsid w:val="00AC4BD9"/>
    <w:rsid w:val="00AC5979"/>
    <w:rsid w:val="00AC6FF5"/>
    <w:rsid w:val="00AC7481"/>
    <w:rsid w:val="00AD1969"/>
    <w:rsid w:val="00AD20A3"/>
    <w:rsid w:val="00AD355D"/>
    <w:rsid w:val="00AD3F03"/>
    <w:rsid w:val="00AD52B8"/>
    <w:rsid w:val="00AD621C"/>
    <w:rsid w:val="00AD6C93"/>
    <w:rsid w:val="00AE068D"/>
    <w:rsid w:val="00AE093D"/>
    <w:rsid w:val="00AE1701"/>
    <w:rsid w:val="00AE1878"/>
    <w:rsid w:val="00AE1DAC"/>
    <w:rsid w:val="00AE287D"/>
    <w:rsid w:val="00AE445E"/>
    <w:rsid w:val="00AE46F6"/>
    <w:rsid w:val="00AE55A7"/>
    <w:rsid w:val="00AE5B19"/>
    <w:rsid w:val="00AE7445"/>
    <w:rsid w:val="00AF1182"/>
    <w:rsid w:val="00AF1CDC"/>
    <w:rsid w:val="00AF20A4"/>
    <w:rsid w:val="00AF44B7"/>
    <w:rsid w:val="00AF4E11"/>
    <w:rsid w:val="00AF7C25"/>
    <w:rsid w:val="00B004F4"/>
    <w:rsid w:val="00B009D8"/>
    <w:rsid w:val="00B01FFF"/>
    <w:rsid w:val="00B03382"/>
    <w:rsid w:val="00B03797"/>
    <w:rsid w:val="00B04579"/>
    <w:rsid w:val="00B047EB"/>
    <w:rsid w:val="00B04F8A"/>
    <w:rsid w:val="00B05153"/>
    <w:rsid w:val="00B06BDD"/>
    <w:rsid w:val="00B071AD"/>
    <w:rsid w:val="00B10762"/>
    <w:rsid w:val="00B10F52"/>
    <w:rsid w:val="00B1105A"/>
    <w:rsid w:val="00B11701"/>
    <w:rsid w:val="00B11B0E"/>
    <w:rsid w:val="00B12B8B"/>
    <w:rsid w:val="00B12F35"/>
    <w:rsid w:val="00B13E3C"/>
    <w:rsid w:val="00B15AF5"/>
    <w:rsid w:val="00B1671E"/>
    <w:rsid w:val="00B1732B"/>
    <w:rsid w:val="00B21019"/>
    <w:rsid w:val="00B2130D"/>
    <w:rsid w:val="00B23C85"/>
    <w:rsid w:val="00B247B1"/>
    <w:rsid w:val="00B24A09"/>
    <w:rsid w:val="00B24F06"/>
    <w:rsid w:val="00B24F4A"/>
    <w:rsid w:val="00B26518"/>
    <w:rsid w:val="00B27501"/>
    <w:rsid w:val="00B27999"/>
    <w:rsid w:val="00B27C78"/>
    <w:rsid w:val="00B30233"/>
    <w:rsid w:val="00B30C51"/>
    <w:rsid w:val="00B32D2B"/>
    <w:rsid w:val="00B33778"/>
    <w:rsid w:val="00B3462A"/>
    <w:rsid w:val="00B37069"/>
    <w:rsid w:val="00B37747"/>
    <w:rsid w:val="00B405F7"/>
    <w:rsid w:val="00B40A26"/>
    <w:rsid w:val="00B4152C"/>
    <w:rsid w:val="00B41635"/>
    <w:rsid w:val="00B41E2F"/>
    <w:rsid w:val="00B4242B"/>
    <w:rsid w:val="00B43444"/>
    <w:rsid w:val="00B434A6"/>
    <w:rsid w:val="00B43852"/>
    <w:rsid w:val="00B43AA8"/>
    <w:rsid w:val="00B4478C"/>
    <w:rsid w:val="00B447A3"/>
    <w:rsid w:val="00B452C0"/>
    <w:rsid w:val="00B45771"/>
    <w:rsid w:val="00B45866"/>
    <w:rsid w:val="00B45F67"/>
    <w:rsid w:val="00B46088"/>
    <w:rsid w:val="00B472EB"/>
    <w:rsid w:val="00B5403F"/>
    <w:rsid w:val="00B555AE"/>
    <w:rsid w:val="00B55855"/>
    <w:rsid w:val="00B55C7F"/>
    <w:rsid w:val="00B55CDF"/>
    <w:rsid w:val="00B57398"/>
    <w:rsid w:val="00B57BB9"/>
    <w:rsid w:val="00B60657"/>
    <w:rsid w:val="00B60F42"/>
    <w:rsid w:val="00B61ECB"/>
    <w:rsid w:val="00B6286E"/>
    <w:rsid w:val="00B62F3C"/>
    <w:rsid w:val="00B6544F"/>
    <w:rsid w:val="00B65FCB"/>
    <w:rsid w:val="00B66B9A"/>
    <w:rsid w:val="00B671E8"/>
    <w:rsid w:val="00B6743C"/>
    <w:rsid w:val="00B703AF"/>
    <w:rsid w:val="00B70CA4"/>
    <w:rsid w:val="00B71931"/>
    <w:rsid w:val="00B719FD"/>
    <w:rsid w:val="00B73BED"/>
    <w:rsid w:val="00B74399"/>
    <w:rsid w:val="00B75047"/>
    <w:rsid w:val="00B75C7D"/>
    <w:rsid w:val="00B77714"/>
    <w:rsid w:val="00B77A25"/>
    <w:rsid w:val="00B77ACD"/>
    <w:rsid w:val="00B804C5"/>
    <w:rsid w:val="00B82A3E"/>
    <w:rsid w:val="00B8357F"/>
    <w:rsid w:val="00B83BB3"/>
    <w:rsid w:val="00B84045"/>
    <w:rsid w:val="00B84BDB"/>
    <w:rsid w:val="00B84D9F"/>
    <w:rsid w:val="00B85610"/>
    <w:rsid w:val="00B85CA9"/>
    <w:rsid w:val="00B87F53"/>
    <w:rsid w:val="00B900D1"/>
    <w:rsid w:val="00B90BCA"/>
    <w:rsid w:val="00B915E2"/>
    <w:rsid w:val="00B91E0A"/>
    <w:rsid w:val="00B923EC"/>
    <w:rsid w:val="00B92AFD"/>
    <w:rsid w:val="00B92B30"/>
    <w:rsid w:val="00B94C3B"/>
    <w:rsid w:val="00B95505"/>
    <w:rsid w:val="00B95F33"/>
    <w:rsid w:val="00B9649F"/>
    <w:rsid w:val="00B96D35"/>
    <w:rsid w:val="00BA1DF5"/>
    <w:rsid w:val="00BA28EB"/>
    <w:rsid w:val="00BA378A"/>
    <w:rsid w:val="00BA4287"/>
    <w:rsid w:val="00BA4DEC"/>
    <w:rsid w:val="00BA4FAF"/>
    <w:rsid w:val="00BA5066"/>
    <w:rsid w:val="00BA54F3"/>
    <w:rsid w:val="00BA5763"/>
    <w:rsid w:val="00BA77C4"/>
    <w:rsid w:val="00BB0F18"/>
    <w:rsid w:val="00BB133C"/>
    <w:rsid w:val="00BB181D"/>
    <w:rsid w:val="00BB1B10"/>
    <w:rsid w:val="00BB1D9E"/>
    <w:rsid w:val="00BB2345"/>
    <w:rsid w:val="00BB2D73"/>
    <w:rsid w:val="00BB2FB1"/>
    <w:rsid w:val="00BB3EA1"/>
    <w:rsid w:val="00BB4529"/>
    <w:rsid w:val="00BB4870"/>
    <w:rsid w:val="00BB49FD"/>
    <w:rsid w:val="00BB5239"/>
    <w:rsid w:val="00BB56BB"/>
    <w:rsid w:val="00BB56DC"/>
    <w:rsid w:val="00BB5715"/>
    <w:rsid w:val="00BB7F4C"/>
    <w:rsid w:val="00BC0AD5"/>
    <w:rsid w:val="00BC0B3F"/>
    <w:rsid w:val="00BC15C7"/>
    <w:rsid w:val="00BC1D71"/>
    <w:rsid w:val="00BC1D7A"/>
    <w:rsid w:val="00BC492D"/>
    <w:rsid w:val="00BC5D55"/>
    <w:rsid w:val="00BC64C8"/>
    <w:rsid w:val="00BC6E55"/>
    <w:rsid w:val="00BC7EA9"/>
    <w:rsid w:val="00BC7EC6"/>
    <w:rsid w:val="00BD02BF"/>
    <w:rsid w:val="00BD2AFE"/>
    <w:rsid w:val="00BD4131"/>
    <w:rsid w:val="00BD43F4"/>
    <w:rsid w:val="00BD50B0"/>
    <w:rsid w:val="00BD52AE"/>
    <w:rsid w:val="00BD550A"/>
    <w:rsid w:val="00BD5F61"/>
    <w:rsid w:val="00BD6E43"/>
    <w:rsid w:val="00BD7BD5"/>
    <w:rsid w:val="00BE2496"/>
    <w:rsid w:val="00BE28DA"/>
    <w:rsid w:val="00BE38E0"/>
    <w:rsid w:val="00BE3E73"/>
    <w:rsid w:val="00BE4251"/>
    <w:rsid w:val="00BE448B"/>
    <w:rsid w:val="00BE4DEF"/>
    <w:rsid w:val="00BE533F"/>
    <w:rsid w:val="00BE55F9"/>
    <w:rsid w:val="00BE5E3A"/>
    <w:rsid w:val="00BE6E64"/>
    <w:rsid w:val="00BF0073"/>
    <w:rsid w:val="00BF0372"/>
    <w:rsid w:val="00BF0C6F"/>
    <w:rsid w:val="00BF0F9F"/>
    <w:rsid w:val="00BF162B"/>
    <w:rsid w:val="00BF502A"/>
    <w:rsid w:val="00BF5EFA"/>
    <w:rsid w:val="00BF6435"/>
    <w:rsid w:val="00BF6979"/>
    <w:rsid w:val="00C00DE2"/>
    <w:rsid w:val="00C02D13"/>
    <w:rsid w:val="00C02F99"/>
    <w:rsid w:val="00C02FCE"/>
    <w:rsid w:val="00C03A16"/>
    <w:rsid w:val="00C055B7"/>
    <w:rsid w:val="00C06AA8"/>
    <w:rsid w:val="00C106B0"/>
    <w:rsid w:val="00C11FC1"/>
    <w:rsid w:val="00C12191"/>
    <w:rsid w:val="00C12547"/>
    <w:rsid w:val="00C12A7E"/>
    <w:rsid w:val="00C143BA"/>
    <w:rsid w:val="00C17204"/>
    <w:rsid w:val="00C17A98"/>
    <w:rsid w:val="00C17F37"/>
    <w:rsid w:val="00C20030"/>
    <w:rsid w:val="00C20E14"/>
    <w:rsid w:val="00C23B88"/>
    <w:rsid w:val="00C23D8C"/>
    <w:rsid w:val="00C23E78"/>
    <w:rsid w:val="00C25BDA"/>
    <w:rsid w:val="00C25F71"/>
    <w:rsid w:val="00C27347"/>
    <w:rsid w:val="00C3053F"/>
    <w:rsid w:val="00C30D63"/>
    <w:rsid w:val="00C31EE3"/>
    <w:rsid w:val="00C3227A"/>
    <w:rsid w:val="00C32C64"/>
    <w:rsid w:val="00C33598"/>
    <w:rsid w:val="00C339A9"/>
    <w:rsid w:val="00C344E9"/>
    <w:rsid w:val="00C364E9"/>
    <w:rsid w:val="00C3653E"/>
    <w:rsid w:val="00C36BD7"/>
    <w:rsid w:val="00C37465"/>
    <w:rsid w:val="00C3789C"/>
    <w:rsid w:val="00C401B7"/>
    <w:rsid w:val="00C40BAC"/>
    <w:rsid w:val="00C411B1"/>
    <w:rsid w:val="00C419FD"/>
    <w:rsid w:val="00C41F53"/>
    <w:rsid w:val="00C42BD2"/>
    <w:rsid w:val="00C42FEA"/>
    <w:rsid w:val="00C44137"/>
    <w:rsid w:val="00C4481F"/>
    <w:rsid w:val="00C45EEC"/>
    <w:rsid w:val="00C466F4"/>
    <w:rsid w:val="00C467F2"/>
    <w:rsid w:val="00C46F14"/>
    <w:rsid w:val="00C470E4"/>
    <w:rsid w:val="00C5066F"/>
    <w:rsid w:val="00C52F4B"/>
    <w:rsid w:val="00C5323C"/>
    <w:rsid w:val="00C53378"/>
    <w:rsid w:val="00C548B1"/>
    <w:rsid w:val="00C552DB"/>
    <w:rsid w:val="00C570FA"/>
    <w:rsid w:val="00C57136"/>
    <w:rsid w:val="00C571EE"/>
    <w:rsid w:val="00C57202"/>
    <w:rsid w:val="00C57BFA"/>
    <w:rsid w:val="00C62E24"/>
    <w:rsid w:val="00C62EFE"/>
    <w:rsid w:val="00C64170"/>
    <w:rsid w:val="00C65BEE"/>
    <w:rsid w:val="00C667D2"/>
    <w:rsid w:val="00C673C0"/>
    <w:rsid w:val="00C706B2"/>
    <w:rsid w:val="00C72D09"/>
    <w:rsid w:val="00C7423D"/>
    <w:rsid w:val="00C747F8"/>
    <w:rsid w:val="00C74EBC"/>
    <w:rsid w:val="00C767FE"/>
    <w:rsid w:val="00C768E1"/>
    <w:rsid w:val="00C76CBD"/>
    <w:rsid w:val="00C77FE9"/>
    <w:rsid w:val="00C81263"/>
    <w:rsid w:val="00C826D7"/>
    <w:rsid w:val="00C841C6"/>
    <w:rsid w:val="00C850DC"/>
    <w:rsid w:val="00C857F8"/>
    <w:rsid w:val="00C85AF2"/>
    <w:rsid w:val="00C86008"/>
    <w:rsid w:val="00C87763"/>
    <w:rsid w:val="00C90787"/>
    <w:rsid w:val="00C91D16"/>
    <w:rsid w:val="00C92420"/>
    <w:rsid w:val="00C92D24"/>
    <w:rsid w:val="00C93B6A"/>
    <w:rsid w:val="00C9444B"/>
    <w:rsid w:val="00CA0E19"/>
    <w:rsid w:val="00CA14B7"/>
    <w:rsid w:val="00CA184A"/>
    <w:rsid w:val="00CA3679"/>
    <w:rsid w:val="00CA3E19"/>
    <w:rsid w:val="00CA3E5C"/>
    <w:rsid w:val="00CA46AC"/>
    <w:rsid w:val="00CA53F0"/>
    <w:rsid w:val="00CA6E95"/>
    <w:rsid w:val="00CB007D"/>
    <w:rsid w:val="00CB18E5"/>
    <w:rsid w:val="00CB22C2"/>
    <w:rsid w:val="00CB2FBD"/>
    <w:rsid w:val="00CB310C"/>
    <w:rsid w:val="00CB4042"/>
    <w:rsid w:val="00CB41E2"/>
    <w:rsid w:val="00CB496A"/>
    <w:rsid w:val="00CB4FBF"/>
    <w:rsid w:val="00CB5549"/>
    <w:rsid w:val="00CB5FEB"/>
    <w:rsid w:val="00CB7BE9"/>
    <w:rsid w:val="00CC089F"/>
    <w:rsid w:val="00CC17F9"/>
    <w:rsid w:val="00CC1936"/>
    <w:rsid w:val="00CC1B6A"/>
    <w:rsid w:val="00CC2523"/>
    <w:rsid w:val="00CC3198"/>
    <w:rsid w:val="00CC337A"/>
    <w:rsid w:val="00CC445A"/>
    <w:rsid w:val="00CC4E32"/>
    <w:rsid w:val="00CC4E5E"/>
    <w:rsid w:val="00CC5455"/>
    <w:rsid w:val="00CC6753"/>
    <w:rsid w:val="00CC6F81"/>
    <w:rsid w:val="00CC7E02"/>
    <w:rsid w:val="00CD0540"/>
    <w:rsid w:val="00CD0AF6"/>
    <w:rsid w:val="00CD0DDB"/>
    <w:rsid w:val="00CD2163"/>
    <w:rsid w:val="00CD2CD5"/>
    <w:rsid w:val="00CD336A"/>
    <w:rsid w:val="00CD4B01"/>
    <w:rsid w:val="00CD5078"/>
    <w:rsid w:val="00CD656E"/>
    <w:rsid w:val="00CD6B2C"/>
    <w:rsid w:val="00CD6D61"/>
    <w:rsid w:val="00CD78FE"/>
    <w:rsid w:val="00CE04B0"/>
    <w:rsid w:val="00CE064E"/>
    <w:rsid w:val="00CE075B"/>
    <w:rsid w:val="00CE0D81"/>
    <w:rsid w:val="00CE5B84"/>
    <w:rsid w:val="00CE5DC0"/>
    <w:rsid w:val="00CE72BF"/>
    <w:rsid w:val="00CE7413"/>
    <w:rsid w:val="00CF16AF"/>
    <w:rsid w:val="00CF17BC"/>
    <w:rsid w:val="00CF20D3"/>
    <w:rsid w:val="00CF25C9"/>
    <w:rsid w:val="00CF3419"/>
    <w:rsid w:val="00CF3B27"/>
    <w:rsid w:val="00CF3D9B"/>
    <w:rsid w:val="00CF4868"/>
    <w:rsid w:val="00CF4E38"/>
    <w:rsid w:val="00CF543C"/>
    <w:rsid w:val="00CF67D9"/>
    <w:rsid w:val="00CF6CA7"/>
    <w:rsid w:val="00D00317"/>
    <w:rsid w:val="00D00E7C"/>
    <w:rsid w:val="00D011AE"/>
    <w:rsid w:val="00D013A1"/>
    <w:rsid w:val="00D017F3"/>
    <w:rsid w:val="00D02F65"/>
    <w:rsid w:val="00D040A4"/>
    <w:rsid w:val="00D04786"/>
    <w:rsid w:val="00D0582B"/>
    <w:rsid w:val="00D06DCA"/>
    <w:rsid w:val="00D07A46"/>
    <w:rsid w:val="00D10808"/>
    <w:rsid w:val="00D10C2D"/>
    <w:rsid w:val="00D10C3F"/>
    <w:rsid w:val="00D10FCA"/>
    <w:rsid w:val="00D115BD"/>
    <w:rsid w:val="00D1162E"/>
    <w:rsid w:val="00D12170"/>
    <w:rsid w:val="00D12BD5"/>
    <w:rsid w:val="00D130A5"/>
    <w:rsid w:val="00D14130"/>
    <w:rsid w:val="00D14969"/>
    <w:rsid w:val="00D14B57"/>
    <w:rsid w:val="00D14E16"/>
    <w:rsid w:val="00D151A3"/>
    <w:rsid w:val="00D1524F"/>
    <w:rsid w:val="00D1567C"/>
    <w:rsid w:val="00D159F1"/>
    <w:rsid w:val="00D165C3"/>
    <w:rsid w:val="00D16D0E"/>
    <w:rsid w:val="00D2079C"/>
    <w:rsid w:val="00D20CD7"/>
    <w:rsid w:val="00D22108"/>
    <w:rsid w:val="00D232F4"/>
    <w:rsid w:val="00D24F05"/>
    <w:rsid w:val="00D2538E"/>
    <w:rsid w:val="00D279D5"/>
    <w:rsid w:val="00D30C11"/>
    <w:rsid w:val="00D31ACB"/>
    <w:rsid w:val="00D325AC"/>
    <w:rsid w:val="00D32ACD"/>
    <w:rsid w:val="00D32BB0"/>
    <w:rsid w:val="00D32C48"/>
    <w:rsid w:val="00D33019"/>
    <w:rsid w:val="00D3305F"/>
    <w:rsid w:val="00D331FB"/>
    <w:rsid w:val="00D335DA"/>
    <w:rsid w:val="00D33D2A"/>
    <w:rsid w:val="00D3485E"/>
    <w:rsid w:val="00D34CE7"/>
    <w:rsid w:val="00D3693C"/>
    <w:rsid w:val="00D373A6"/>
    <w:rsid w:val="00D37782"/>
    <w:rsid w:val="00D37BAC"/>
    <w:rsid w:val="00D46603"/>
    <w:rsid w:val="00D46808"/>
    <w:rsid w:val="00D47306"/>
    <w:rsid w:val="00D477FD"/>
    <w:rsid w:val="00D478C4"/>
    <w:rsid w:val="00D47953"/>
    <w:rsid w:val="00D47BD5"/>
    <w:rsid w:val="00D50C2C"/>
    <w:rsid w:val="00D5151B"/>
    <w:rsid w:val="00D51F23"/>
    <w:rsid w:val="00D54361"/>
    <w:rsid w:val="00D55171"/>
    <w:rsid w:val="00D55B25"/>
    <w:rsid w:val="00D55E37"/>
    <w:rsid w:val="00D55F34"/>
    <w:rsid w:val="00D57214"/>
    <w:rsid w:val="00D5722F"/>
    <w:rsid w:val="00D61241"/>
    <w:rsid w:val="00D62B0D"/>
    <w:rsid w:val="00D62BD0"/>
    <w:rsid w:val="00D6311C"/>
    <w:rsid w:val="00D63698"/>
    <w:rsid w:val="00D64357"/>
    <w:rsid w:val="00D657D4"/>
    <w:rsid w:val="00D6645E"/>
    <w:rsid w:val="00D664DA"/>
    <w:rsid w:val="00D66986"/>
    <w:rsid w:val="00D66F44"/>
    <w:rsid w:val="00D7085C"/>
    <w:rsid w:val="00D70A54"/>
    <w:rsid w:val="00D71538"/>
    <w:rsid w:val="00D71D17"/>
    <w:rsid w:val="00D729A0"/>
    <w:rsid w:val="00D72E31"/>
    <w:rsid w:val="00D735CB"/>
    <w:rsid w:val="00D7365C"/>
    <w:rsid w:val="00D74A7F"/>
    <w:rsid w:val="00D75063"/>
    <w:rsid w:val="00D75A14"/>
    <w:rsid w:val="00D75B77"/>
    <w:rsid w:val="00D76164"/>
    <w:rsid w:val="00D7724B"/>
    <w:rsid w:val="00D77985"/>
    <w:rsid w:val="00D779C7"/>
    <w:rsid w:val="00D8038F"/>
    <w:rsid w:val="00D80B15"/>
    <w:rsid w:val="00D8122F"/>
    <w:rsid w:val="00D813C6"/>
    <w:rsid w:val="00D82AB2"/>
    <w:rsid w:val="00D82FD5"/>
    <w:rsid w:val="00D836ED"/>
    <w:rsid w:val="00D83E04"/>
    <w:rsid w:val="00D847C2"/>
    <w:rsid w:val="00D859D7"/>
    <w:rsid w:val="00D86652"/>
    <w:rsid w:val="00D8668F"/>
    <w:rsid w:val="00D870C9"/>
    <w:rsid w:val="00D8719F"/>
    <w:rsid w:val="00D87843"/>
    <w:rsid w:val="00D90E86"/>
    <w:rsid w:val="00D92A49"/>
    <w:rsid w:val="00D94170"/>
    <w:rsid w:val="00D94318"/>
    <w:rsid w:val="00D94F09"/>
    <w:rsid w:val="00D95262"/>
    <w:rsid w:val="00D96B2C"/>
    <w:rsid w:val="00D96C60"/>
    <w:rsid w:val="00D96E24"/>
    <w:rsid w:val="00D972A2"/>
    <w:rsid w:val="00D97C5C"/>
    <w:rsid w:val="00DA023D"/>
    <w:rsid w:val="00DA0796"/>
    <w:rsid w:val="00DA0A56"/>
    <w:rsid w:val="00DA11DF"/>
    <w:rsid w:val="00DA180C"/>
    <w:rsid w:val="00DA2E0C"/>
    <w:rsid w:val="00DA3043"/>
    <w:rsid w:val="00DA35FB"/>
    <w:rsid w:val="00DA41C0"/>
    <w:rsid w:val="00DA5EFB"/>
    <w:rsid w:val="00DA659E"/>
    <w:rsid w:val="00DA688C"/>
    <w:rsid w:val="00DA6D53"/>
    <w:rsid w:val="00DA71AC"/>
    <w:rsid w:val="00DB0822"/>
    <w:rsid w:val="00DB0EC4"/>
    <w:rsid w:val="00DB0F30"/>
    <w:rsid w:val="00DB2620"/>
    <w:rsid w:val="00DB2927"/>
    <w:rsid w:val="00DB2DA1"/>
    <w:rsid w:val="00DB300B"/>
    <w:rsid w:val="00DB3CF6"/>
    <w:rsid w:val="00DB3D58"/>
    <w:rsid w:val="00DB3FFF"/>
    <w:rsid w:val="00DB5460"/>
    <w:rsid w:val="00DB5491"/>
    <w:rsid w:val="00DB580C"/>
    <w:rsid w:val="00DB58C7"/>
    <w:rsid w:val="00DB5F4D"/>
    <w:rsid w:val="00DB6DAD"/>
    <w:rsid w:val="00DB7C4F"/>
    <w:rsid w:val="00DC01C2"/>
    <w:rsid w:val="00DC08B5"/>
    <w:rsid w:val="00DC0DAC"/>
    <w:rsid w:val="00DC1A67"/>
    <w:rsid w:val="00DC3353"/>
    <w:rsid w:val="00DC4008"/>
    <w:rsid w:val="00DC4492"/>
    <w:rsid w:val="00DC4A44"/>
    <w:rsid w:val="00DC53CD"/>
    <w:rsid w:val="00DC56D4"/>
    <w:rsid w:val="00DC725E"/>
    <w:rsid w:val="00DC7AD2"/>
    <w:rsid w:val="00DD17BC"/>
    <w:rsid w:val="00DD1E9F"/>
    <w:rsid w:val="00DD324A"/>
    <w:rsid w:val="00DD32A6"/>
    <w:rsid w:val="00DD336E"/>
    <w:rsid w:val="00DD3E32"/>
    <w:rsid w:val="00DD40B8"/>
    <w:rsid w:val="00DD4BF9"/>
    <w:rsid w:val="00DD5F8F"/>
    <w:rsid w:val="00DD645E"/>
    <w:rsid w:val="00DD6BEA"/>
    <w:rsid w:val="00DD7007"/>
    <w:rsid w:val="00DD7255"/>
    <w:rsid w:val="00DD783C"/>
    <w:rsid w:val="00DE01B8"/>
    <w:rsid w:val="00DE0561"/>
    <w:rsid w:val="00DE120E"/>
    <w:rsid w:val="00DE1251"/>
    <w:rsid w:val="00DE20FA"/>
    <w:rsid w:val="00DE4BD5"/>
    <w:rsid w:val="00DE60C6"/>
    <w:rsid w:val="00DE66B7"/>
    <w:rsid w:val="00DE67BE"/>
    <w:rsid w:val="00DE6949"/>
    <w:rsid w:val="00DF204F"/>
    <w:rsid w:val="00DF30B5"/>
    <w:rsid w:val="00DF40D9"/>
    <w:rsid w:val="00DF576B"/>
    <w:rsid w:val="00DF70D7"/>
    <w:rsid w:val="00DF74A1"/>
    <w:rsid w:val="00E00DCC"/>
    <w:rsid w:val="00E01669"/>
    <w:rsid w:val="00E020E1"/>
    <w:rsid w:val="00E03105"/>
    <w:rsid w:val="00E0360A"/>
    <w:rsid w:val="00E03EDC"/>
    <w:rsid w:val="00E04527"/>
    <w:rsid w:val="00E04772"/>
    <w:rsid w:val="00E0793B"/>
    <w:rsid w:val="00E079F7"/>
    <w:rsid w:val="00E07D2E"/>
    <w:rsid w:val="00E10057"/>
    <w:rsid w:val="00E11601"/>
    <w:rsid w:val="00E121A4"/>
    <w:rsid w:val="00E12A8E"/>
    <w:rsid w:val="00E135F0"/>
    <w:rsid w:val="00E15C5C"/>
    <w:rsid w:val="00E1681E"/>
    <w:rsid w:val="00E169F9"/>
    <w:rsid w:val="00E1709E"/>
    <w:rsid w:val="00E17A7D"/>
    <w:rsid w:val="00E216B7"/>
    <w:rsid w:val="00E21EA1"/>
    <w:rsid w:val="00E22038"/>
    <w:rsid w:val="00E2222A"/>
    <w:rsid w:val="00E22338"/>
    <w:rsid w:val="00E233F6"/>
    <w:rsid w:val="00E23676"/>
    <w:rsid w:val="00E236D0"/>
    <w:rsid w:val="00E26170"/>
    <w:rsid w:val="00E26766"/>
    <w:rsid w:val="00E26C9C"/>
    <w:rsid w:val="00E27820"/>
    <w:rsid w:val="00E303C9"/>
    <w:rsid w:val="00E30E90"/>
    <w:rsid w:val="00E31D07"/>
    <w:rsid w:val="00E3264E"/>
    <w:rsid w:val="00E350BF"/>
    <w:rsid w:val="00E36124"/>
    <w:rsid w:val="00E3791F"/>
    <w:rsid w:val="00E4013E"/>
    <w:rsid w:val="00E4084A"/>
    <w:rsid w:val="00E40F9E"/>
    <w:rsid w:val="00E411E8"/>
    <w:rsid w:val="00E41BAE"/>
    <w:rsid w:val="00E41CA3"/>
    <w:rsid w:val="00E42A37"/>
    <w:rsid w:val="00E42D3D"/>
    <w:rsid w:val="00E43E35"/>
    <w:rsid w:val="00E45587"/>
    <w:rsid w:val="00E47308"/>
    <w:rsid w:val="00E47A96"/>
    <w:rsid w:val="00E516B2"/>
    <w:rsid w:val="00E529A7"/>
    <w:rsid w:val="00E531D9"/>
    <w:rsid w:val="00E53386"/>
    <w:rsid w:val="00E5344A"/>
    <w:rsid w:val="00E534A5"/>
    <w:rsid w:val="00E53E8E"/>
    <w:rsid w:val="00E54D71"/>
    <w:rsid w:val="00E54F94"/>
    <w:rsid w:val="00E56164"/>
    <w:rsid w:val="00E56B4D"/>
    <w:rsid w:val="00E60723"/>
    <w:rsid w:val="00E60BC0"/>
    <w:rsid w:val="00E614E9"/>
    <w:rsid w:val="00E61A04"/>
    <w:rsid w:val="00E61B76"/>
    <w:rsid w:val="00E64448"/>
    <w:rsid w:val="00E6461A"/>
    <w:rsid w:val="00E64D50"/>
    <w:rsid w:val="00E659EA"/>
    <w:rsid w:val="00E65E5B"/>
    <w:rsid w:val="00E65EB9"/>
    <w:rsid w:val="00E66CD9"/>
    <w:rsid w:val="00E66F4A"/>
    <w:rsid w:val="00E67A8C"/>
    <w:rsid w:val="00E70891"/>
    <w:rsid w:val="00E724EC"/>
    <w:rsid w:val="00E72AD5"/>
    <w:rsid w:val="00E72EAB"/>
    <w:rsid w:val="00E73C5A"/>
    <w:rsid w:val="00E73FAB"/>
    <w:rsid w:val="00E746C8"/>
    <w:rsid w:val="00E77542"/>
    <w:rsid w:val="00E777BF"/>
    <w:rsid w:val="00E77FD7"/>
    <w:rsid w:val="00E8340E"/>
    <w:rsid w:val="00E838CF"/>
    <w:rsid w:val="00E83CFF"/>
    <w:rsid w:val="00E83E23"/>
    <w:rsid w:val="00E85505"/>
    <w:rsid w:val="00E8565F"/>
    <w:rsid w:val="00E85667"/>
    <w:rsid w:val="00E8612A"/>
    <w:rsid w:val="00E86A8F"/>
    <w:rsid w:val="00E8709B"/>
    <w:rsid w:val="00E87E9E"/>
    <w:rsid w:val="00E901E3"/>
    <w:rsid w:val="00E9088C"/>
    <w:rsid w:val="00E9145C"/>
    <w:rsid w:val="00E91A4A"/>
    <w:rsid w:val="00E91F21"/>
    <w:rsid w:val="00E926E5"/>
    <w:rsid w:val="00E93305"/>
    <w:rsid w:val="00E93D15"/>
    <w:rsid w:val="00E943B4"/>
    <w:rsid w:val="00E943CF"/>
    <w:rsid w:val="00E94715"/>
    <w:rsid w:val="00E94831"/>
    <w:rsid w:val="00E95E01"/>
    <w:rsid w:val="00EA2E45"/>
    <w:rsid w:val="00EA335F"/>
    <w:rsid w:val="00EA3E24"/>
    <w:rsid w:val="00EA3F21"/>
    <w:rsid w:val="00EA50B2"/>
    <w:rsid w:val="00EA5237"/>
    <w:rsid w:val="00EA6504"/>
    <w:rsid w:val="00EA65A4"/>
    <w:rsid w:val="00EB08D2"/>
    <w:rsid w:val="00EB2D22"/>
    <w:rsid w:val="00EB4357"/>
    <w:rsid w:val="00EB55F1"/>
    <w:rsid w:val="00EB5D39"/>
    <w:rsid w:val="00EB6554"/>
    <w:rsid w:val="00EB7735"/>
    <w:rsid w:val="00EC02F1"/>
    <w:rsid w:val="00EC06CB"/>
    <w:rsid w:val="00EC0B1D"/>
    <w:rsid w:val="00EC0D27"/>
    <w:rsid w:val="00EC108F"/>
    <w:rsid w:val="00EC55A4"/>
    <w:rsid w:val="00EC5806"/>
    <w:rsid w:val="00EC58B4"/>
    <w:rsid w:val="00EC6403"/>
    <w:rsid w:val="00EC7731"/>
    <w:rsid w:val="00EC7BF1"/>
    <w:rsid w:val="00ED02D6"/>
    <w:rsid w:val="00ED10EE"/>
    <w:rsid w:val="00ED3134"/>
    <w:rsid w:val="00ED4966"/>
    <w:rsid w:val="00ED512B"/>
    <w:rsid w:val="00ED6185"/>
    <w:rsid w:val="00ED7AD7"/>
    <w:rsid w:val="00EE1EA0"/>
    <w:rsid w:val="00EE2109"/>
    <w:rsid w:val="00EE2255"/>
    <w:rsid w:val="00EE28FF"/>
    <w:rsid w:val="00EE2AB2"/>
    <w:rsid w:val="00EE51F2"/>
    <w:rsid w:val="00EE53A1"/>
    <w:rsid w:val="00EE5C5B"/>
    <w:rsid w:val="00EE611E"/>
    <w:rsid w:val="00EE67C0"/>
    <w:rsid w:val="00EE7A45"/>
    <w:rsid w:val="00EF134D"/>
    <w:rsid w:val="00EF2B46"/>
    <w:rsid w:val="00EF3C39"/>
    <w:rsid w:val="00EF40B3"/>
    <w:rsid w:val="00F00BFE"/>
    <w:rsid w:val="00F01D61"/>
    <w:rsid w:val="00F02657"/>
    <w:rsid w:val="00F04169"/>
    <w:rsid w:val="00F041F7"/>
    <w:rsid w:val="00F04DE0"/>
    <w:rsid w:val="00F059E3"/>
    <w:rsid w:val="00F05F82"/>
    <w:rsid w:val="00F05F8E"/>
    <w:rsid w:val="00F06618"/>
    <w:rsid w:val="00F075E3"/>
    <w:rsid w:val="00F105E5"/>
    <w:rsid w:val="00F107D6"/>
    <w:rsid w:val="00F10CFC"/>
    <w:rsid w:val="00F11B36"/>
    <w:rsid w:val="00F12CD8"/>
    <w:rsid w:val="00F13211"/>
    <w:rsid w:val="00F13733"/>
    <w:rsid w:val="00F13A34"/>
    <w:rsid w:val="00F13C15"/>
    <w:rsid w:val="00F1455C"/>
    <w:rsid w:val="00F148AA"/>
    <w:rsid w:val="00F16878"/>
    <w:rsid w:val="00F17D33"/>
    <w:rsid w:val="00F17E49"/>
    <w:rsid w:val="00F211D6"/>
    <w:rsid w:val="00F21554"/>
    <w:rsid w:val="00F2171D"/>
    <w:rsid w:val="00F23FF1"/>
    <w:rsid w:val="00F24A5C"/>
    <w:rsid w:val="00F25D10"/>
    <w:rsid w:val="00F2636E"/>
    <w:rsid w:val="00F2637E"/>
    <w:rsid w:val="00F275AA"/>
    <w:rsid w:val="00F277D7"/>
    <w:rsid w:val="00F27CC6"/>
    <w:rsid w:val="00F31318"/>
    <w:rsid w:val="00F328C6"/>
    <w:rsid w:val="00F345F6"/>
    <w:rsid w:val="00F34847"/>
    <w:rsid w:val="00F34C0F"/>
    <w:rsid w:val="00F371FB"/>
    <w:rsid w:val="00F37D5D"/>
    <w:rsid w:val="00F4034E"/>
    <w:rsid w:val="00F41896"/>
    <w:rsid w:val="00F41B01"/>
    <w:rsid w:val="00F42E85"/>
    <w:rsid w:val="00F436FE"/>
    <w:rsid w:val="00F4422B"/>
    <w:rsid w:val="00F44990"/>
    <w:rsid w:val="00F44B63"/>
    <w:rsid w:val="00F44F85"/>
    <w:rsid w:val="00F44FC4"/>
    <w:rsid w:val="00F45448"/>
    <w:rsid w:val="00F464B0"/>
    <w:rsid w:val="00F46854"/>
    <w:rsid w:val="00F46D4C"/>
    <w:rsid w:val="00F472AA"/>
    <w:rsid w:val="00F50D2D"/>
    <w:rsid w:val="00F50D57"/>
    <w:rsid w:val="00F514F2"/>
    <w:rsid w:val="00F516F3"/>
    <w:rsid w:val="00F51F02"/>
    <w:rsid w:val="00F520EE"/>
    <w:rsid w:val="00F54D0E"/>
    <w:rsid w:val="00F55208"/>
    <w:rsid w:val="00F55286"/>
    <w:rsid w:val="00F557FC"/>
    <w:rsid w:val="00F55952"/>
    <w:rsid w:val="00F5632D"/>
    <w:rsid w:val="00F5657D"/>
    <w:rsid w:val="00F56951"/>
    <w:rsid w:val="00F57509"/>
    <w:rsid w:val="00F61119"/>
    <w:rsid w:val="00F619DD"/>
    <w:rsid w:val="00F62FF9"/>
    <w:rsid w:val="00F630A3"/>
    <w:rsid w:val="00F63606"/>
    <w:rsid w:val="00F6388B"/>
    <w:rsid w:val="00F643AF"/>
    <w:rsid w:val="00F6548A"/>
    <w:rsid w:val="00F65BCE"/>
    <w:rsid w:val="00F65F5C"/>
    <w:rsid w:val="00F66C26"/>
    <w:rsid w:val="00F67AC9"/>
    <w:rsid w:val="00F67E00"/>
    <w:rsid w:val="00F67E23"/>
    <w:rsid w:val="00F67E5D"/>
    <w:rsid w:val="00F72424"/>
    <w:rsid w:val="00F7266B"/>
    <w:rsid w:val="00F73784"/>
    <w:rsid w:val="00F741CB"/>
    <w:rsid w:val="00F74466"/>
    <w:rsid w:val="00F761EF"/>
    <w:rsid w:val="00F76F95"/>
    <w:rsid w:val="00F77299"/>
    <w:rsid w:val="00F773E5"/>
    <w:rsid w:val="00F777CB"/>
    <w:rsid w:val="00F77AC9"/>
    <w:rsid w:val="00F77FFE"/>
    <w:rsid w:val="00F80508"/>
    <w:rsid w:val="00F814D6"/>
    <w:rsid w:val="00F81874"/>
    <w:rsid w:val="00F82C43"/>
    <w:rsid w:val="00F83026"/>
    <w:rsid w:val="00F83352"/>
    <w:rsid w:val="00F84AB9"/>
    <w:rsid w:val="00F85159"/>
    <w:rsid w:val="00F851DA"/>
    <w:rsid w:val="00F86004"/>
    <w:rsid w:val="00F86771"/>
    <w:rsid w:val="00F870EE"/>
    <w:rsid w:val="00F90442"/>
    <w:rsid w:val="00F9113C"/>
    <w:rsid w:val="00F91642"/>
    <w:rsid w:val="00F91E47"/>
    <w:rsid w:val="00F93297"/>
    <w:rsid w:val="00F94505"/>
    <w:rsid w:val="00F94DA9"/>
    <w:rsid w:val="00F967F2"/>
    <w:rsid w:val="00F97A6A"/>
    <w:rsid w:val="00FA0371"/>
    <w:rsid w:val="00FA1315"/>
    <w:rsid w:val="00FA21EC"/>
    <w:rsid w:val="00FA2468"/>
    <w:rsid w:val="00FA2CC7"/>
    <w:rsid w:val="00FA357F"/>
    <w:rsid w:val="00FA3703"/>
    <w:rsid w:val="00FA4155"/>
    <w:rsid w:val="00FA4712"/>
    <w:rsid w:val="00FA5F7C"/>
    <w:rsid w:val="00FA7088"/>
    <w:rsid w:val="00FA77E1"/>
    <w:rsid w:val="00FB043A"/>
    <w:rsid w:val="00FB13A2"/>
    <w:rsid w:val="00FB146D"/>
    <w:rsid w:val="00FB32B5"/>
    <w:rsid w:val="00FB4335"/>
    <w:rsid w:val="00FB4D94"/>
    <w:rsid w:val="00FB5008"/>
    <w:rsid w:val="00FB5F82"/>
    <w:rsid w:val="00FB606B"/>
    <w:rsid w:val="00FB6D8F"/>
    <w:rsid w:val="00FB6E55"/>
    <w:rsid w:val="00FB7276"/>
    <w:rsid w:val="00FB7EF6"/>
    <w:rsid w:val="00FC02F5"/>
    <w:rsid w:val="00FC1B86"/>
    <w:rsid w:val="00FC33A5"/>
    <w:rsid w:val="00FC43CB"/>
    <w:rsid w:val="00FC473E"/>
    <w:rsid w:val="00FC4A50"/>
    <w:rsid w:val="00FC4DB4"/>
    <w:rsid w:val="00FC6AEF"/>
    <w:rsid w:val="00FC78AE"/>
    <w:rsid w:val="00FC78BC"/>
    <w:rsid w:val="00FC7A09"/>
    <w:rsid w:val="00FD0561"/>
    <w:rsid w:val="00FD05B9"/>
    <w:rsid w:val="00FD1B77"/>
    <w:rsid w:val="00FD207C"/>
    <w:rsid w:val="00FD2E6C"/>
    <w:rsid w:val="00FD3B7D"/>
    <w:rsid w:val="00FD3BF2"/>
    <w:rsid w:val="00FD5B6F"/>
    <w:rsid w:val="00FD5BBE"/>
    <w:rsid w:val="00FD62E5"/>
    <w:rsid w:val="00FD7805"/>
    <w:rsid w:val="00FD7836"/>
    <w:rsid w:val="00FD7A49"/>
    <w:rsid w:val="00FE1F21"/>
    <w:rsid w:val="00FE276E"/>
    <w:rsid w:val="00FE4167"/>
    <w:rsid w:val="00FE44C6"/>
    <w:rsid w:val="00FE4DAF"/>
    <w:rsid w:val="00FE4EB0"/>
    <w:rsid w:val="00FE61D1"/>
    <w:rsid w:val="00FE6292"/>
    <w:rsid w:val="00FE6A89"/>
    <w:rsid w:val="00FE6B4C"/>
    <w:rsid w:val="00FF01DE"/>
    <w:rsid w:val="00FF1BF5"/>
    <w:rsid w:val="00FF1E03"/>
    <w:rsid w:val="00FF346F"/>
    <w:rsid w:val="00FF4250"/>
    <w:rsid w:val="00FF6031"/>
    <w:rsid w:val="00FF6423"/>
    <w:rsid w:val="00FF64B2"/>
    <w:rsid w:val="179F3751"/>
    <w:rsid w:val="2D3075D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name="footnote text"/>
    <w:lsdException w:qFormat="1" w:unhideWhenUsed="0" w:uiPriority="0" w:name="annotation text"/>
    <w:lsdException w:uiPriority="0" w:semiHidden="0" w:name="header"/>
    <w:lsdException w:qFormat="1"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5"/>
    <w:qFormat/>
    <w:uiPriority w:val="0"/>
    <w:pPr>
      <w:keepNext/>
      <w:ind w:firstLine="5880" w:firstLineChars="700"/>
      <w:outlineLvl w:val="0"/>
    </w:pPr>
    <w:rPr>
      <w:b/>
      <w:bCs/>
      <w:kern w:val="44"/>
      <w:sz w:val="44"/>
      <w:szCs w:val="44"/>
    </w:rPr>
  </w:style>
  <w:style w:type="paragraph" w:styleId="4">
    <w:name w:val="heading 2"/>
    <w:basedOn w:val="1"/>
    <w:next w:val="1"/>
    <w:link w:val="106"/>
    <w:qFormat/>
    <w:uiPriority w:val="0"/>
    <w:pPr>
      <w:keepNext/>
      <w:outlineLvl w:val="1"/>
    </w:pPr>
    <w:rPr>
      <w:rFonts w:ascii="Cambria" w:hAnsi="Cambria"/>
      <w:b/>
      <w:bCs/>
      <w:kern w:val="0"/>
      <w:sz w:val="32"/>
      <w:szCs w:val="32"/>
    </w:rPr>
  </w:style>
  <w:style w:type="paragraph" w:styleId="5">
    <w:name w:val="heading 3"/>
    <w:basedOn w:val="1"/>
    <w:next w:val="1"/>
    <w:link w:val="107"/>
    <w:qFormat/>
    <w:uiPriority w:val="0"/>
    <w:pPr>
      <w:keepNext/>
      <w:ind w:firstLine="400" w:firstLineChars="200"/>
      <w:jc w:val="center"/>
      <w:outlineLvl w:val="2"/>
    </w:pPr>
    <w:rPr>
      <w:b/>
      <w:bCs/>
      <w:kern w:val="0"/>
      <w:sz w:val="32"/>
      <w:szCs w:val="32"/>
    </w:rPr>
  </w:style>
  <w:style w:type="paragraph" w:styleId="6">
    <w:name w:val="heading 4"/>
    <w:basedOn w:val="1"/>
    <w:next w:val="1"/>
    <w:link w:val="108"/>
    <w:qFormat/>
    <w:uiPriority w:val="0"/>
    <w:pPr>
      <w:keepNext/>
      <w:jc w:val="center"/>
      <w:outlineLvl w:val="3"/>
    </w:pPr>
    <w:rPr>
      <w:rFonts w:ascii="Cambria" w:hAnsi="Cambria"/>
      <w:b/>
      <w:bCs/>
      <w:kern w:val="0"/>
      <w:sz w:val="28"/>
      <w:szCs w:val="28"/>
    </w:rPr>
  </w:style>
  <w:style w:type="paragraph" w:styleId="7">
    <w:name w:val="heading 5"/>
    <w:basedOn w:val="1"/>
    <w:next w:val="1"/>
    <w:link w:val="109"/>
    <w:qFormat/>
    <w:uiPriority w:val="0"/>
    <w:pPr>
      <w:keepNext/>
      <w:tabs>
        <w:tab w:val="right" w:leader="dot" w:pos="9360"/>
        <w:tab w:val="right" w:leader="dot" w:pos="9450"/>
        <w:tab w:val="right" w:leader="dot" w:pos="11340"/>
        <w:tab w:val="right" w:leader="dot" w:pos="14742"/>
      </w:tabs>
      <w:ind w:left="-358" w:leftChars="-171"/>
      <w:jc w:val="center"/>
      <w:outlineLvl w:val="4"/>
    </w:pPr>
    <w:rPr>
      <w:b/>
      <w:bCs/>
      <w:kern w:val="0"/>
      <w:sz w:val="28"/>
      <w:szCs w:val="28"/>
    </w:rPr>
  </w:style>
  <w:style w:type="paragraph" w:styleId="8">
    <w:name w:val="heading 6"/>
    <w:basedOn w:val="1"/>
    <w:next w:val="1"/>
    <w:link w:val="110"/>
    <w:qFormat/>
    <w:uiPriority w:val="0"/>
    <w:pPr>
      <w:keepNext/>
      <w:outlineLvl w:val="5"/>
    </w:pPr>
    <w:rPr>
      <w:rFonts w:ascii="Cambria" w:hAnsi="Cambria"/>
      <w:b/>
      <w:bCs/>
      <w:kern w:val="0"/>
      <w:sz w:val="24"/>
    </w:rPr>
  </w:style>
  <w:style w:type="paragraph" w:styleId="9">
    <w:name w:val="heading 7"/>
    <w:basedOn w:val="1"/>
    <w:next w:val="1"/>
    <w:link w:val="111"/>
    <w:qFormat/>
    <w:uiPriority w:val="0"/>
    <w:pPr>
      <w:keepNext/>
      <w:ind w:left="1256" w:hanging="1256"/>
      <w:jc w:val="center"/>
      <w:outlineLvl w:val="6"/>
    </w:pPr>
    <w:rPr>
      <w:b/>
      <w:bCs/>
      <w:kern w:val="0"/>
      <w:sz w:val="24"/>
    </w:rPr>
  </w:style>
  <w:style w:type="paragraph" w:styleId="10">
    <w:name w:val="heading 8"/>
    <w:basedOn w:val="1"/>
    <w:next w:val="1"/>
    <w:link w:val="15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55"/>
    <w:qFormat/>
    <w:uiPriority w:val="0"/>
    <w:pPr>
      <w:keepNext/>
      <w:keepLines/>
      <w:spacing w:before="240" w:after="64" w:line="320" w:lineRule="auto"/>
      <w:outlineLvl w:val="8"/>
    </w:pPr>
    <w:rPr>
      <w:rFonts w:ascii="Arial" w:hAnsi="Arial" w:eastAsia="黑体"/>
      <w:szCs w:val="21"/>
    </w:rPr>
  </w:style>
  <w:style w:type="character" w:default="1" w:styleId="96">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56"/>
    <w:semiHidden/>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qFormat/>
    <w:uiPriority w:val="0"/>
    <w:pPr>
      <w:spacing w:line="312" w:lineRule="auto"/>
      <w:ind w:left="100" w:leftChars="400" w:hanging="200" w:hangingChars="200"/>
    </w:pPr>
    <w:rPr>
      <w:sz w:val="24"/>
    </w:rPr>
  </w:style>
  <w:style w:type="paragraph" w:styleId="13">
    <w:name w:val="toc 7"/>
    <w:basedOn w:val="1"/>
    <w:next w:val="1"/>
    <w:qFormat/>
    <w:uiPriority w:val="0"/>
    <w:pPr>
      <w:ind w:left="2520" w:leftChars="1200"/>
    </w:pPr>
  </w:style>
  <w:style w:type="paragraph" w:styleId="14">
    <w:name w:val="List Number 2"/>
    <w:basedOn w:val="1"/>
    <w:qFormat/>
    <w:uiPriority w:val="0"/>
    <w:pPr>
      <w:tabs>
        <w:tab w:val="left" w:pos="780"/>
      </w:tabs>
      <w:spacing w:line="312" w:lineRule="auto"/>
      <w:ind w:left="780" w:hanging="360"/>
    </w:pPr>
    <w:rPr>
      <w:sz w:val="24"/>
    </w:rPr>
  </w:style>
  <w:style w:type="paragraph" w:styleId="15">
    <w:name w:val="table of authorities"/>
    <w:basedOn w:val="1"/>
    <w:next w:val="1"/>
    <w:semiHidden/>
    <w:qFormat/>
    <w:uiPriority w:val="0"/>
    <w:pPr>
      <w:spacing w:line="312" w:lineRule="auto"/>
      <w:ind w:left="420" w:leftChars="200"/>
    </w:pPr>
    <w:rPr>
      <w:sz w:val="24"/>
    </w:rPr>
  </w:style>
  <w:style w:type="paragraph" w:styleId="16">
    <w:name w:val="Note Heading"/>
    <w:basedOn w:val="1"/>
    <w:next w:val="1"/>
    <w:link w:val="157"/>
    <w:qFormat/>
    <w:uiPriority w:val="0"/>
    <w:pPr>
      <w:spacing w:line="312" w:lineRule="auto"/>
      <w:jc w:val="center"/>
    </w:pPr>
    <w:rPr>
      <w:sz w:val="24"/>
    </w:rPr>
  </w:style>
  <w:style w:type="paragraph" w:styleId="17">
    <w:name w:val="List Bullet 4"/>
    <w:basedOn w:val="1"/>
    <w:qFormat/>
    <w:uiPriority w:val="0"/>
    <w:pPr>
      <w:tabs>
        <w:tab w:val="left" w:pos="1620"/>
      </w:tabs>
      <w:spacing w:line="312" w:lineRule="auto"/>
      <w:ind w:left="1620" w:hanging="360"/>
    </w:pPr>
    <w:rPr>
      <w:sz w:val="24"/>
    </w:rPr>
  </w:style>
  <w:style w:type="paragraph" w:styleId="18">
    <w:name w:val="index 8"/>
    <w:basedOn w:val="1"/>
    <w:next w:val="1"/>
    <w:semiHidden/>
    <w:qFormat/>
    <w:uiPriority w:val="0"/>
    <w:pPr>
      <w:spacing w:line="312" w:lineRule="auto"/>
      <w:ind w:left="1400" w:leftChars="1400"/>
    </w:pPr>
    <w:rPr>
      <w:sz w:val="24"/>
    </w:rPr>
  </w:style>
  <w:style w:type="paragraph" w:styleId="19">
    <w:name w:val="E-mail Signature"/>
    <w:basedOn w:val="1"/>
    <w:link w:val="158"/>
    <w:qFormat/>
    <w:uiPriority w:val="0"/>
    <w:pPr>
      <w:spacing w:line="312" w:lineRule="auto"/>
    </w:pPr>
    <w:rPr>
      <w:sz w:val="24"/>
    </w:rPr>
  </w:style>
  <w:style w:type="paragraph" w:styleId="20">
    <w:name w:val="List Number"/>
    <w:basedOn w:val="1"/>
    <w:qFormat/>
    <w:uiPriority w:val="0"/>
    <w:pPr>
      <w:tabs>
        <w:tab w:val="left" w:pos="360"/>
      </w:tabs>
      <w:spacing w:line="312" w:lineRule="auto"/>
      <w:ind w:left="360" w:hanging="360"/>
    </w:pPr>
    <w:rPr>
      <w:sz w:val="24"/>
    </w:rPr>
  </w:style>
  <w:style w:type="paragraph" w:styleId="21">
    <w:name w:val="Normal Indent"/>
    <w:basedOn w:val="1"/>
    <w:qFormat/>
    <w:uiPriority w:val="0"/>
    <w:pPr>
      <w:spacing w:line="312" w:lineRule="auto"/>
      <w:ind w:firstLine="420" w:firstLineChars="200"/>
    </w:pPr>
    <w:rPr>
      <w:sz w:val="24"/>
    </w:rPr>
  </w:style>
  <w:style w:type="paragraph" w:styleId="22">
    <w:name w:val="caption"/>
    <w:basedOn w:val="1"/>
    <w:next w:val="1"/>
    <w:qFormat/>
    <w:uiPriority w:val="0"/>
    <w:pPr>
      <w:spacing w:line="312" w:lineRule="auto"/>
    </w:pPr>
    <w:rPr>
      <w:rFonts w:ascii="Arial" w:hAnsi="Arial" w:eastAsia="黑体" w:cs="Arial"/>
      <w:sz w:val="20"/>
      <w:szCs w:val="20"/>
    </w:rPr>
  </w:style>
  <w:style w:type="paragraph" w:styleId="23">
    <w:name w:val="index 5"/>
    <w:basedOn w:val="1"/>
    <w:next w:val="1"/>
    <w:semiHidden/>
    <w:qFormat/>
    <w:uiPriority w:val="0"/>
    <w:pPr>
      <w:spacing w:line="312" w:lineRule="auto"/>
      <w:ind w:left="800" w:leftChars="800"/>
    </w:pPr>
    <w:rPr>
      <w:sz w:val="24"/>
    </w:rPr>
  </w:style>
  <w:style w:type="paragraph" w:styleId="24">
    <w:name w:val="List Bullet"/>
    <w:basedOn w:val="1"/>
    <w:qFormat/>
    <w:uiPriority w:val="0"/>
    <w:pPr>
      <w:tabs>
        <w:tab w:val="left" w:pos="360"/>
      </w:tabs>
      <w:spacing w:line="312" w:lineRule="auto"/>
      <w:ind w:left="360" w:hanging="360"/>
    </w:pPr>
    <w:rPr>
      <w:sz w:val="24"/>
    </w:rPr>
  </w:style>
  <w:style w:type="paragraph" w:styleId="25">
    <w:name w:val="envelope address"/>
    <w:basedOn w:val="1"/>
    <w:qFormat/>
    <w:uiPriority w:val="0"/>
    <w:pPr>
      <w:framePr w:w="7920" w:h="1980" w:hRule="exact" w:hSpace="180" w:wrap="around" w:vAnchor="margin" w:hAnchor="page" w:xAlign="center" w:yAlign="bottom"/>
      <w:snapToGrid w:val="0"/>
      <w:spacing w:line="312" w:lineRule="auto"/>
      <w:ind w:left="100" w:leftChars="1400"/>
    </w:pPr>
    <w:rPr>
      <w:rFonts w:ascii="Arial" w:hAnsi="Arial" w:cs="Arial"/>
      <w:sz w:val="24"/>
    </w:rPr>
  </w:style>
  <w:style w:type="paragraph" w:styleId="26">
    <w:name w:val="Document Map"/>
    <w:basedOn w:val="1"/>
    <w:link w:val="159"/>
    <w:semiHidden/>
    <w:qFormat/>
    <w:uiPriority w:val="0"/>
    <w:pPr>
      <w:shd w:val="clear" w:color="auto" w:fill="000080"/>
      <w:spacing w:line="312" w:lineRule="auto"/>
    </w:pPr>
    <w:rPr>
      <w:sz w:val="24"/>
    </w:rPr>
  </w:style>
  <w:style w:type="paragraph" w:styleId="27">
    <w:name w:val="toa heading"/>
    <w:basedOn w:val="1"/>
    <w:next w:val="1"/>
    <w:semiHidden/>
    <w:qFormat/>
    <w:uiPriority w:val="0"/>
    <w:pPr>
      <w:spacing w:before="120" w:line="312" w:lineRule="auto"/>
    </w:pPr>
    <w:rPr>
      <w:rFonts w:ascii="Arial" w:hAnsi="Arial" w:cs="Arial"/>
      <w:sz w:val="24"/>
    </w:rPr>
  </w:style>
  <w:style w:type="paragraph" w:styleId="28">
    <w:name w:val="annotation text"/>
    <w:basedOn w:val="1"/>
    <w:link w:val="143"/>
    <w:semiHidden/>
    <w:qFormat/>
    <w:uiPriority w:val="0"/>
    <w:pPr>
      <w:jc w:val="left"/>
    </w:pPr>
    <w:rPr>
      <w:szCs w:val="20"/>
    </w:rPr>
  </w:style>
  <w:style w:type="paragraph" w:styleId="29">
    <w:name w:val="index 6"/>
    <w:basedOn w:val="1"/>
    <w:next w:val="1"/>
    <w:semiHidden/>
    <w:qFormat/>
    <w:uiPriority w:val="0"/>
    <w:pPr>
      <w:spacing w:line="312" w:lineRule="auto"/>
      <w:ind w:left="1000" w:leftChars="1000"/>
    </w:pPr>
    <w:rPr>
      <w:sz w:val="24"/>
    </w:rPr>
  </w:style>
  <w:style w:type="paragraph" w:styleId="30">
    <w:name w:val="Salutation"/>
    <w:basedOn w:val="1"/>
    <w:next w:val="1"/>
    <w:link w:val="160"/>
    <w:qFormat/>
    <w:uiPriority w:val="0"/>
    <w:pPr>
      <w:spacing w:line="312" w:lineRule="auto"/>
    </w:pPr>
    <w:rPr>
      <w:sz w:val="24"/>
    </w:rPr>
  </w:style>
  <w:style w:type="paragraph" w:styleId="31">
    <w:name w:val="Body Text 3"/>
    <w:basedOn w:val="1"/>
    <w:link w:val="161"/>
    <w:qFormat/>
    <w:uiPriority w:val="0"/>
    <w:pPr>
      <w:spacing w:after="120" w:line="312" w:lineRule="auto"/>
    </w:pPr>
    <w:rPr>
      <w:sz w:val="16"/>
      <w:szCs w:val="16"/>
    </w:rPr>
  </w:style>
  <w:style w:type="paragraph" w:styleId="32">
    <w:name w:val="Closing"/>
    <w:basedOn w:val="1"/>
    <w:link w:val="162"/>
    <w:qFormat/>
    <w:uiPriority w:val="0"/>
    <w:pPr>
      <w:spacing w:line="312" w:lineRule="auto"/>
      <w:ind w:left="100" w:leftChars="2100"/>
    </w:pPr>
    <w:rPr>
      <w:sz w:val="24"/>
    </w:rPr>
  </w:style>
  <w:style w:type="paragraph" w:styleId="33">
    <w:name w:val="List Bullet 3"/>
    <w:basedOn w:val="1"/>
    <w:qFormat/>
    <w:uiPriority w:val="0"/>
    <w:pPr>
      <w:tabs>
        <w:tab w:val="left" w:pos="1200"/>
      </w:tabs>
      <w:spacing w:line="312" w:lineRule="auto"/>
      <w:ind w:left="1200" w:hanging="360"/>
    </w:pPr>
    <w:rPr>
      <w:sz w:val="24"/>
    </w:rPr>
  </w:style>
  <w:style w:type="paragraph" w:styleId="34">
    <w:name w:val="Body Text"/>
    <w:basedOn w:val="1"/>
    <w:link w:val="112"/>
    <w:qFormat/>
    <w:uiPriority w:val="0"/>
    <w:pPr>
      <w:spacing w:after="120"/>
    </w:pPr>
    <w:rPr>
      <w:sz w:val="24"/>
    </w:rPr>
  </w:style>
  <w:style w:type="paragraph" w:styleId="35">
    <w:name w:val="Body Text Indent"/>
    <w:basedOn w:val="1"/>
    <w:link w:val="153"/>
    <w:unhideWhenUsed/>
    <w:qFormat/>
    <w:uiPriority w:val="0"/>
    <w:pPr>
      <w:spacing w:after="120"/>
      <w:ind w:left="420" w:leftChars="200"/>
    </w:pPr>
  </w:style>
  <w:style w:type="paragraph" w:styleId="36">
    <w:name w:val="List Number 3"/>
    <w:basedOn w:val="1"/>
    <w:qFormat/>
    <w:uiPriority w:val="0"/>
    <w:pPr>
      <w:tabs>
        <w:tab w:val="left" w:pos="1200"/>
      </w:tabs>
      <w:spacing w:line="312" w:lineRule="auto"/>
      <w:ind w:left="1200" w:hanging="360"/>
    </w:pPr>
    <w:rPr>
      <w:sz w:val="24"/>
    </w:rPr>
  </w:style>
  <w:style w:type="paragraph" w:styleId="37">
    <w:name w:val="List 2"/>
    <w:basedOn w:val="1"/>
    <w:qFormat/>
    <w:uiPriority w:val="0"/>
    <w:pPr>
      <w:spacing w:line="312" w:lineRule="auto"/>
      <w:ind w:left="100" w:leftChars="200" w:hanging="200" w:hangingChars="200"/>
    </w:pPr>
    <w:rPr>
      <w:sz w:val="24"/>
    </w:rPr>
  </w:style>
  <w:style w:type="paragraph" w:styleId="38">
    <w:name w:val="List Continue"/>
    <w:basedOn w:val="1"/>
    <w:qFormat/>
    <w:uiPriority w:val="0"/>
    <w:pPr>
      <w:spacing w:after="120" w:line="312" w:lineRule="auto"/>
      <w:ind w:left="420" w:leftChars="200"/>
    </w:pPr>
    <w:rPr>
      <w:sz w:val="24"/>
    </w:rPr>
  </w:style>
  <w:style w:type="paragraph" w:styleId="39">
    <w:name w:val="Block Text"/>
    <w:basedOn w:val="1"/>
    <w:qFormat/>
    <w:uiPriority w:val="0"/>
    <w:pPr>
      <w:spacing w:after="120" w:line="312" w:lineRule="auto"/>
      <w:ind w:left="1440" w:leftChars="700" w:right="1440" w:rightChars="700"/>
    </w:pPr>
    <w:rPr>
      <w:sz w:val="24"/>
    </w:rPr>
  </w:style>
  <w:style w:type="paragraph" w:styleId="40">
    <w:name w:val="List Bullet 2"/>
    <w:basedOn w:val="1"/>
    <w:qFormat/>
    <w:uiPriority w:val="0"/>
    <w:pPr>
      <w:tabs>
        <w:tab w:val="left" w:pos="780"/>
      </w:tabs>
      <w:spacing w:line="312" w:lineRule="auto"/>
      <w:ind w:left="780" w:hanging="360"/>
    </w:pPr>
    <w:rPr>
      <w:sz w:val="24"/>
    </w:rPr>
  </w:style>
  <w:style w:type="paragraph" w:styleId="41">
    <w:name w:val="HTML Address"/>
    <w:basedOn w:val="1"/>
    <w:link w:val="163"/>
    <w:qFormat/>
    <w:uiPriority w:val="0"/>
    <w:pPr>
      <w:spacing w:line="312" w:lineRule="auto"/>
    </w:pPr>
    <w:rPr>
      <w:i/>
      <w:iCs/>
      <w:sz w:val="24"/>
    </w:rPr>
  </w:style>
  <w:style w:type="paragraph" w:styleId="42">
    <w:name w:val="index 4"/>
    <w:basedOn w:val="1"/>
    <w:next w:val="1"/>
    <w:semiHidden/>
    <w:qFormat/>
    <w:uiPriority w:val="0"/>
    <w:pPr>
      <w:spacing w:line="312" w:lineRule="auto"/>
      <w:ind w:left="600" w:leftChars="600"/>
    </w:pPr>
    <w:rPr>
      <w:sz w:val="24"/>
    </w:r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link w:val="150"/>
    <w:qFormat/>
    <w:uiPriority w:val="0"/>
    <w:rPr>
      <w:rFonts w:hint="eastAsia" w:ascii="宋体" w:hAnsi="Courier New"/>
      <w:szCs w:val="20"/>
    </w:rPr>
  </w:style>
  <w:style w:type="paragraph" w:styleId="46">
    <w:name w:val="List Bullet 5"/>
    <w:basedOn w:val="1"/>
    <w:qFormat/>
    <w:uiPriority w:val="0"/>
    <w:pPr>
      <w:tabs>
        <w:tab w:val="left" w:pos="2040"/>
      </w:tabs>
      <w:spacing w:line="312" w:lineRule="auto"/>
      <w:ind w:left="2040" w:hanging="360"/>
    </w:pPr>
    <w:rPr>
      <w:sz w:val="24"/>
    </w:rPr>
  </w:style>
  <w:style w:type="paragraph" w:styleId="47">
    <w:name w:val="List Number 4"/>
    <w:basedOn w:val="1"/>
    <w:qFormat/>
    <w:uiPriority w:val="0"/>
    <w:pPr>
      <w:tabs>
        <w:tab w:val="left" w:pos="1620"/>
      </w:tabs>
      <w:spacing w:line="312" w:lineRule="auto"/>
      <w:ind w:left="1620" w:hanging="360"/>
    </w:pPr>
    <w:rPr>
      <w:sz w:val="24"/>
    </w:rPr>
  </w:style>
  <w:style w:type="paragraph" w:styleId="48">
    <w:name w:val="toc 8"/>
    <w:basedOn w:val="1"/>
    <w:next w:val="1"/>
    <w:qFormat/>
    <w:uiPriority w:val="0"/>
    <w:pPr>
      <w:ind w:left="2940" w:leftChars="1400"/>
    </w:pPr>
  </w:style>
  <w:style w:type="paragraph" w:styleId="49">
    <w:name w:val="index 3"/>
    <w:basedOn w:val="1"/>
    <w:next w:val="1"/>
    <w:semiHidden/>
    <w:qFormat/>
    <w:uiPriority w:val="0"/>
    <w:pPr>
      <w:spacing w:line="312" w:lineRule="auto"/>
      <w:ind w:left="400" w:leftChars="400"/>
    </w:pPr>
    <w:rPr>
      <w:sz w:val="24"/>
    </w:rPr>
  </w:style>
  <w:style w:type="paragraph" w:styleId="50">
    <w:name w:val="Date"/>
    <w:basedOn w:val="1"/>
    <w:next w:val="1"/>
    <w:link w:val="140"/>
    <w:qFormat/>
    <w:uiPriority w:val="0"/>
    <w:pPr>
      <w:ind w:left="100" w:leftChars="2500"/>
    </w:pPr>
  </w:style>
  <w:style w:type="paragraph" w:styleId="51">
    <w:name w:val="Body Text Indent 2"/>
    <w:basedOn w:val="1"/>
    <w:link w:val="164"/>
    <w:qFormat/>
    <w:uiPriority w:val="0"/>
    <w:pPr>
      <w:spacing w:after="120" w:line="480" w:lineRule="auto"/>
      <w:ind w:left="420" w:leftChars="200"/>
    </w:pPr>
    <w:rPr>
      <w:sz w:val="24"/>
    </w:rPr>
  </w:style>
  <w:style w:type="paragraph" w:styleId="52">
    <w:name w:val="endnote text"/>
    <w:basedOn w:val="1"/>
    <w:link w:val="165"/>
    <w:semiHidden/>
    <w:qFormat/>
    <w:uiPriority w:val="0"/>
    <w:pPr>
      <w:snapToGrid w:val="0"/>
      <w:spacing w:line="312" w:lineRule="auto"/>
      <w:jc w:val="left"/>
    </w:pPr>
    <w:rPr>
      <w:sz w:val="24"/>
    </w:rPr>
  </w:style>
  <w:style w:type="paragraph" w:styleId="53">
    <w:name w:val="List Continue 5"/>
    <w:basedOn w:val="1"/>
    <w:qFormat/>
    <w:uiPriority w:val="0"/>
    <w:pPr>
      <w:spacing w:after="120" w:line="312" w:lineRule="auto"/>
      <w:ind w:left="2100" w:leftChars="1000"/>
    </w:pPr>
    <w:rPr>
      <w:sz w:val="24"/>
    </w:rPr>
  </w:style>
  <w:style w:type="paragraph" w:styleId="54">
    <w:name w:val="Balloon Text"/>
    <w:basedOn w:val="1"/>
    <w:link w:val="113"/>
    <w:qFormat/>
    <w:uiPriority w:val="0"/>
    <w:rPr>
      <w:sz w:val="18"/>
      <w:szCs w:val="18"/>
    </w:rPr>
  </w:style>
  <w:style w:type="paragraph" w:styleId="55">
    <w:name w:val="footer"/>
    <w:basedOn w:val="1"/>
    <w:link w:val="104"/>
    <w:unhideWhenUsed/>
    <w:qFormat/>
    <w:uiPriority w:val="0"/>
    <w:pPr>
      <w:tabs>
        <w:tab w:val="center" w:pos="4153"/>
        <w:tab w:val="right" w:pos="8306"/>
      </w:tabs>
      <w:snapToGrid w:val="0"/>
      <w:jc w:val="left"/>
    </w:pPr>
    <w:rPr>
      <w:sz w:val="18"/>
      <w:szCs w:val="18"/>
    </w:rPr>
  </w:style>
  <w:style w:type="paragraph" w:styleId="56">
    <w:name w:val="envelope return"/>
    <w:basedOn w:val="1"/>
    <w:qFormat/>
    <w:uiPriority w:val="0"/>
    <w:pPr>
      <w:snapToGrid w:val="0"/>
      <w:spacing w:line="312" w:lineRule="auto"/>
    </w:pPr>
    <w:rPr>
      <w:rFonts w:ascii="Arial" w:hAnsi="Arial" w:cs="Arial"/>
      <w:sz w:val="24"/>
    </w:rPr>
  </w:style>
  <w:style w:type="paragraph" w:styleId="57">
    <w:name w:val="header"/>
    <w:basedOn w:val="1"/>
    <w:link w:val="103"/>
    <w:unhideWhenUsed/>
    <w:uiPriority w:val="0"/>
    <w:pPr>
      <w:pBdr>
        <w:bottom w:val="single" w:color="auto" w:sz="6" w:space="1"/>
      </w:pBdr>
      <w:tabs>
        <w:tab w:val="center" w:pos="4153"/>
        <w:tab w:val="right" w:pos="8306"/>
      </w:tabs>
      <w:snapToGrid w:val="0"/>
      <w:jc w:val="center"/>
    </w:pPr>
    <w:rPr>
      <w:sz w:val="18"/>
      <w:szCs w:val="18"/>
    </w:rPr>
  </w:style>
  <w:style w:type="paragraph" w:styleId="58">
    <w:name w:val="Signature"/>
    <w:basedOn w:val="1"/>
    <w:link w:val="166"/>
    <w:qFormat/>
    <w:uiPriority w:val="0"/>
    <w:pPr>
      <w:spacing w:line="312" w:lineRule="auto"/>
      <w:ind w:left="100" w:leftChars="2100"/>
    </w:pPr>
    <w:rPr>
      <w:sz w:val="24"/>
    </w:rPr>
  </w:style>
  <w:style w:type="paragraph" w:styleId="59">
    <w:name w:val="toc 1"/>
    <w:basedOn w:val="1"/>
    <w:next w:val="1"/>
    <w:qFormat/>
    <w:uiPriority w:val="39"/>
  </w:style>
  <w:style w:type="paragraph" w:styleId="60">
    <w:name w:val="List Continue 4"/>
    <w:basedOn w:val="1"/>
    <w:qFormat/>
    <w:uiPriority w:val="0"/>
    <w:pPr>
      <w:spacing w:after="120" w:line="312" w:lineRule="auto"/>
      <w:ind w:left="1680" w:leftChars="800"/>
    </w:pPr>
    <w:rPr>
      <w:sz w:val="24"/>
    </w:rPr>
  </w:style>
  <w:style w:type="paragraph" w:styleId="61">
    <w:name w:val="toc 4"/>
    <w:basedOn w:val="1"/>
    <w:next w:val="1"/>
    <w:qFormat/>
    <w:uiPriority w:val="0"/>
    <w:pPr>
      <w:ind w:left="1260" w:leftChars="600"/>
    </w:pPr>
  </w:style>
  <w:style w:type="paragraph" w:styleId="62">
    <w:name w:val="index heading"/>
    <w:basedOn w:val="1"/>
    <w:next w:val="63"/>
    <w:semiHidden/>
    <w:qFormat/>
    <w:uiPriority w:val="0"/>
    <w:pPr>
      <w:spacing w:line="312" w:lineRule="auto"/>
    </w:pPr>
    <w:rPr>
      <w:rFonts w:ascii="Arial" w:hAnsi="Arial" w:cs="Arial"/>
      <w:b/>
      <w:bCs/>
      <w:sz w:val="24"/>
    </w:rPr>
  </w:style>
  <w:style w:type="paragraph" w:styleId="63">
    <w:name w:val="index 1"/>
    <w:basedOn w:val="1"/>
    <w:next w:val="1"/>
    <w:semiHidden/>
    <w:unhideWhenUsed/>
    <w:qFormat/>
    <w:uiPriority w:val="0"/>
  </w:style>
  <w:style w:type="paragraph" w:styleId="64">
    <w:name w:val="Subtitle"/>
    <w:basedOn w:val="1"/>
    <w:next w:val="1"/>
    <w:link w:val="190"/>
    <w:qFormat/>
    <w:uiPriority w:val="0"/>
    <w:pPr>
      <w:spacing w:before="240" w:after="60" w:line="312" w:lineRule="auto"/>
      <w:jc w:val="center"/>
      <w:outlineLvl w:val="1"/>
    </w:pPr>
    <w:rPr>
      <w:rFonts w:ascii="Cambria" w:hAnsi="Cambria" w:eastAsiaTheme="minorEastAsia" w:cstheme="minorBidi"/>
      <w:bCs/>
      <w:kern w:val="28"/>
      <w:sz w:val="24"/>
      <w:szCs w:val="32"/>
    </w:rPr>
  </w:style>
  <w:style w:type="paragraph" w:styleId="65">
    <w:name w:val="List Number 5"/>
    <w:basedOn w:val="1"/>
    <w:qFormat/>
    <w:uiPriority w:val="0"/>
    <w:pPr>
      <w:tabs>
        <w:tab w:val="left" w:pos="2040"/>
      </w:tabs>
      <w:spacing w:line="312" w:lineRule="auto"/>
      <w:ind w:left="2040" w:hanging="360"/>
    </w:pPr>
    <w:rPr>
      <w:sz w:val="24"/>
    </w:rPr>
  </w:style>
  <w:style w:type="paragraph" w:styleId="66">
    <w:name w:val="List"/>
    <w:basedOn w:val="1"/>
    <w:qFormat/>
    <w:uiPriority w:val="0"/>
    <w:pPr>
      <w:spacing w:line="312" w:lineRule="auto"/>
      <w:ind w:left="200" w:hanging="200" w:hangingChars="200"/>
    </w:pPr>
    <w:rPr>
      <w:sz w:val="24"/>
    </w:rPr>
  </w:style>
  <w:style w:type="paragraph" w:styleId="67">
    <w:name w:val="footnote text"/>
    <w:basedOn w:val="1"/>
    <w:link w:val="168"/>
    <w:semiHidden/>
    <w:qFormat/>
    <w:uiPriority w:val="0"/>
    <w:pPr>
      <w:snapToGrid w:val="0"/>
      <w:spacing w:line="312" w:lineRule="auto"/>
      <w:jc w:val="left"/>
    </w:pPr>
    <w:rPr>
      <w:sz w:val="18"/>
      <w:szCs w:val="18"/>
    </w:rPr>
  </w:style>
  <w:style w:type="paragraph" w:styleId="68">
    <w:name w:val="toc 6"/>
    <w:basedOn w:val="1"/>
    <w:next w:val="1"/>
    <w:qFormat/>
    <w:uiPriority w:val="0"/>
    <w:pPr>
      <w:ind w:left="2100" w:leftChars="1000"/>
    </w:pPr>
  </w:style>
  <w:style w:type="paragraph" w:styleId="69">
    <w:name w:val="List 5"/>
    <w:basedOn w:val="1"/>
    <w:qFormat/>
    <w:uiPriority w:val="0"/>
    <w:pPr>
      <w:spacing w:line="312" w:lineRule="auto"/>
      <w:ind w:left="100" w:leftChars="800" w:hanging="200" w:hangingChars="200"/>
    </w:pPr>
    <w:rPr>
      <w:sz w:val="24"/>
    </w:rPr>
  </w:style>
  <w:style w:type="paragraph" w:styleId="70">
    <w:name w:val="Body Text Indent 3"/>
    <w:basedOn w:val="1"/>
    <w:link w:val="169"/>
    <w:uiPriority w:val="0"/>
    <w:pPr>
      <w:spacing w:after="120" w:line="312" w:lineRule="auto"/>
      <w:ind w:left="420" w:leftChars="200"/>
    </w:pPr>
    <w:rPr>
      <w:sz w:val="16"/>
      <w:szCs w:val="16"/>
    </w:rPr>
  </w:style>
  <w:style w:type="paragraph" w:styleId="71">
    <w:name w:val="index 7"/>
    <w:basedOn w:val="1"/>
    <w:next w:val="1"/>
    <w:semiHidden/>
    <w:qFormat/>
    <w:uiPriority w:val="0"/>
    <w:pPr>
      <w:spacing w:line="312" w:lineRule="auto"/>
      <w:ind w:left="1200" w:leftChars="1200"/>
    </w:pPr>
    <w:rPr>
      <w:sz w:val="24"/>
    </w:rPr>
  </w:style>
  <w:style w:type="paragraph" w:styleId="72">
    <w:name w:val="index 9"/>
    <w:basedOn w:val="1"/>
    <w:next w:val="1"/>
    <w:semiHidden/>
    <w:qFormat/>
    <w:uiPriority w:val="0"/>
    <w:pPr>
      <w:spacing w:line="312" w:lineRule="auto"/>
      <w:ind w:left="1600" w:leftChars="1600"/>
    </w:pPr>
    <w:rPr>
      <w:sz w:val="24"/>
    </w:rPr>
  </w:style>
  <w:style w:type="paragraph" w:styleId="73">
    <w:name w:val="table of figures"/>
    <w:basedOn w:val="1"/>
    <w:next w:val="1"/>
    <w:semiHidden/>
    <w:qFormat/>
    <w:uiPriority w:val="0"/>
    <w:pPr>
      <w:spacing w:line="312" w:lineRule="auto"/>
      <w:ind w:left="200" w:leftChars="200" w:hanging="200" w:hangingChars="200"/>
    </w:pPr>
    <w:rPr>
      <w:sz w:val="24"/>
    </w:rPr>
  </w:style>
  <w:style w:type="paragraph" w:styleId="74">
    <w:name w:val="toc 2"/>
    <w:basedOn w:val="1"/>
    <w:next w:val="1"/>
    <w:qFormat/>
    <w:uiPriority w:val="39"/>
    <w:pPr>
      <w:ind w:left="420" w:leftChars="200"/>
    </w:pPr>
  </w:style>
  <w:style w:type="paragraph" w:styleId="75">
    <w:name w:val="toc 9"/>
    <w:basedOn w:val="1"/>
    <w:next w:val="1"/>
    <w:qFormat/>
    <w:uiPriority w:val="0"/>
    <w:pPr>
      <w:ind w:left="3360" w:leftChars="1600"/>
    </w:pPr>
  </w:style>
  <w:style w:type="paragraph" w:styleId="76">
    <w:name w:val="Body Text 2"/>
    <w:basedOn w:val="1"/>
    <w:link w:val="170"/>
    <w:qFormat/>
    <w:uiPriority w:val="0"/>
    <w:pPr>
      <w:spacing w:after="120" w:line="480" w:lineRule="auto"/>
    </w:pPr>
    <w:rPr>
      <w:sz w:val="24"/>
    </w:rPr>
  </w:style>
  <w:style w:type="paragraph" w:styleId="77">
    <w:name w:val="List 4"/>
    <w:basedOn w:val="1"/>
    <w:qFormat/>
    <w:uiPriority w:val="0"/>
    <w:pPr>
      <w:spacing w:line="312" w:lineRule="auto"/>
      <w:ind w:left="100" w:leftChars="600" w:hanging="200" w:hangingChars="200"/>
    </w:pPr>
    <w:rPr>
      <w:sz w:val="24"/>
    </w:rPr>
  </w:style>
  <w:style w:type="paragraph" w:styleId="78">
    <w:name w:val="List Continue 2"/>
    <w:basedOn w:val="1"/>
    <w:qFormat/>
    <w:uiPriority w:val="0"/>
    <w:pPr>
      <w:spacing w:after="120" w:line="312" w:lineRule="auto"/>
      <w:ind w:left="840" w:leftChars="400"/>
    </w:pPr>
    <w:rPr>
      <w:sz w:val="24"/>
    </w:rPr>
  </w:style>
  <w:style w:type="paragraph" w:styleId="79">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line="312" w:lineRule="auto"/>
      <w:ind w:left="1080" w:leftChars="500" w:hanging="1080" w:hangingChars="500"/>
    </w:pPr>
    <w:rPr>
      <w:rFonts w:ascii="Arial" w:hAnsi="Arial" w:cs="Arial"/>
      <w:sz w:val="24"/>
    </w:rPr>
  </w:style>
  <w:style w:type="paragraph" w:styleId="80">
    <w:name w:val="HTML Preformatted"/>
    <w:basedOn w:val="1"/>
    <w:link w:val="172"/>
    <w:qFormat/>
    <w:uiPriority w:val="0"/>
    <w:pPr>
      <w:spacing w:line="312" w:lineRule="auto"/>
    </w:pPr>
    <w:rPr>
      <w:rFonts w:ascii="Courier New" w:hAnsi="Courier New" w:cs="Courier New"/>
      <w:sz w:val="20"/>
      <w:szCs w:val="20"/>
    </w:rPr>
  </w:style>
  <w:style w:type="paragraph" w:styleId="81">
    <w:name w:val="Normal (Web)"/>
    <w:basedOn w:val="1"/>
    <w:link w:val="142"/>
    <w:qFormat/>
    <w:uiPriority w:val="99"/>
    <w:pPr>
      <w:widowControl/>
      <w:spacing w:before="100" w:beforeAutospacing="1" w:after="100" w:afterAutospacing="1"/>
      <w:jc w:val="left"/>
    </w:pPr>
    <w:rPr>
      <w:rFonts w:ascii="宋体" w:hAnsi="宋体" w:cs="宋体"/>
      <w:kern w:val="0"/>
      <w:sz w:val="24"/>
    </w:rPr>
  </w:style>
  <w:style w:type="paragraph" w:styleId="82">
    <w:name w:val="List Continue 3"/>
    <w:basedOn w:val="1"/>
    <w:qFormat/>
    <w:uiPriority w:val="0"/>
    <w:pPr>
      <w:spacing w:after="120" w:line="312" w:lineRule="auto"/>
      <w:ind w:left="1260" w:leftChars="600"/>
    </w:pPr>
    <w:rPr>
      <w:sz w:val="24"/>
    </w:rPr>
  </w:style>
  <w:style w:type="paragraph" w:styleId="83">
    <w:name w:val="index 2"/>
    <w:basedOn w:val="1"/>
    <w:next w:val="1"/>
    <w:semiHidden/>
    <w:qFormat/>
    <w:uiPriority w:val="0"/>
    <w:pPr>
      <w:spacing w:line="312" w:lineRule="auto"/>
      <w:ind w:left="200" w:leftChars="200"/>
    </w:pPr>
    <w:rPr>
      <w:sz w:val="24"/>
    </w:rPr>
  </w:style>
  <w:style w:type="paragraph" w:styleId="84">
    <w:name w:val="Title"/>
    <w:basedOn w:val="1"/>
    <w:next w:val="1"/>
    <w:link w:val="189"/>
    <w:qFormat/>
    <w:uiPriority w:val="0"/>
    <w:pPr>
      <w:spacing w:before="240" w:after="60"/>
      <w:jc w:val="center"/>
      <w:outlineLvl w:val="0"/>
    </w:pPr>
    <w:rPr>
      <w:rFonts w:ascii="Cambria" w:hAnsi="Cambria" w:eastAsiaTheme="minorEastAsia"/>
      <w:b/>
      <w:bCs/>
      <w:sz w:val="32"/>
      <w:szCs w:val="32"/>
    </w:rPr>
  </w:style>
  <w:style w:type="paragraph" w:styleId="85">
    <w:name w:val="annotation subject"/>
    <w:basedOn w:val="28"/>
    <w:next w:val="28"/>
    <w:link w:val="145"/>
    <w:semiHidden/>
    <w:unhideWhenUsed/>
    <w:qFormat/>
    <w:uiPriority w:val="0"/>
    <w:rPr>
      <w:b/>
      <w:bCs/>
      <w:szCs w:val="24"/>
    </w:rPr>
  </w:style>
  <w:style w:type="paragraph" w:styleId="86">
    <w:name w:val="Body Text First Indent"/>
    <w:basedOn w:val="34"/>
    <w:link w:val="174"/>
    <w:qFormat/>
    <w:uiPriority w:val="0"/>
    <w:pPr>
      <w:spacing w:line="312" w:lineRule="auto"/>
      <w:ind w:firstLine="420" w:firstLineChars="100"/>
    </w:pPr>
    <w:rPr>
      <w:lang w:val="zh-CN"/>
    </w:rPr>
  </w:style>
  <w:style w:type="paragraph" w:styleId="87">
    <w:name w:val="Body Text First Indent 2"/>
    <w:basedOn w:val="35"/>
    <w:link w:val="175"/>
    <w:qFormat/>
    <w:uiPriority w:val="0"/>
    <w:pPr>
      <w:spacing w:line="312" w:lineRule="auto"/>
      <w:ind w:firstLine="420" w:firstLineChars="200"/>
    </w:pPr>
    <w:rPr>
      <w:sz w:val="24"/>
    </w:rPr>
  </w:style>
  <w:style w:type="table" w:styleId="89">
    <w:name w:val="Table Grid"/>
    <w:basedOn w:val="8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qFormat/>
    <w:uiPriority w:val="0"/>
    <w:pPr>
      <w:widowControl w:val="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Colorful 2"/>
    <w:basedOn w:val="88"/>
    <w:qFormat/>
    <w:uiPriority w:val="0"/>
    <w:pPr>
      <w:widowControl w:val="0"/>
      <w:jc w:val="both"/>
    </w:pPr>
    <w:rPr>
      <w:rFonts w:ascii="Times New Roman" w:hAnsi="Times New Roman" w:eastAsia="宋体" w:cs="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3"/>
    <w:basedOn w:val="88"/>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Elegant"/>
    <w:basedOn w:val="88"/>
    <w:qFormat/>
    <w:uiPriority w:val="0"/>
    <w:pPr>
      <w:widowControl w:val="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95">
    <w:name w:val="Table Classic 1"/>
    <w:basedOn w:val="88"/>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97">
    <w:name w:val="Strong"/>
    <w:qFormat/>
    <w:uiPriority w:val="22"/>
    <w:rPr>
      <w:rFonts w:cs="Times New Roman"/>
      <w:b/>
    </w:rPr>
  </w:style>
  <w:style w:type="character" w:styleId="98">
    <w:name w:val="page number"/>
    <w:basedOn w:val="96"/>
    <w:qFormat/>
    <w:uiPriority w:val="0"/>
  </w:style>
  <w:style w:type="character" w:styleId="99">
    <w:name w:val="FollowedHyperlink"/>
    <w:qFormat/>
    <w:uiPriority w:val="99"/>
    <w:rPr>
      <w:rFonts w:cs="Times New Roman"/>
      <w:color w:val="800080"/>
      <w:u w:val="single"/>
    </w:rPr>
  </w:style>
  <w:style w:type="character" w:styleId="100">
    <w:name w:val="Emphasis"/>
    <w:qFormat/>
    <w:uiPriority w:val="20"/>
    <w:rPr>
      <w:rFonts w:cs="Times New Roman"/>
      <w:color w:val="CC0033"/>
    </w:rPr>
  </w:style>
  <w:style w:type="character" w:styleId="101">
    <w:name w:val="Hyperlink"/>
    <w:qFormat/>
    <w:uiPriority w:val="99"/>
    <w:rPr>
      <w:rFonts w:cs="Times New Roman"/>
      <w:color w:val="0000FF"/>
      <w:u w:val="single"/>
    </w:rPr>
  </w:style>
  <w:style w:type="character" w:styleId="102">
    <w:name w:val="annotation reference"/>
    <w:qFormat/>
    <w:uiPriority w:val="0"/>
    <w:rPr>
      <w:sz w:val="21"/>
      <w:szCs w:val="21"/>
    </w:rPr>
  </w:style>
  <w:style w:type="character" w:customStyle="1" w:styleId="103">
    <w:name w:val="页眉 Char"/>
    <w:basedOn w:val="96"/>
    <w:link w:val="57"/>
    <w:qFormat/>
    <w:uiPriority w:val="0"/>
    <w:rPr>
      <w:sz w:val="18"/>
      <w:szCs w:val="18"/>
    </w:rPr>
  </w:style>
  <w:style w:type="character" w:customStyle="1" w:styleId="104">
    <w:name w:val="页脚 Char"/>
    <w:basedOn w:val="96"/>
    <w:link w:val="55"/>
    <w:qFormat/>
    <w:uiPriority w:val="0"/>
    <w:rPr>
      <w:sz w:val="18"/>
      <w:szCs w:val="18"/>
    </w:rPr>
  </w:style>
  <w:style w:type="character" w:customStyle="1" w:styleId="105">
    <w:name w:val="标题 1 Char"/>
    <w:basedOn w:val="96"/>
    <w:link w:val="3"/>
    <w:qFormat/>
    <w:uiPriority w:val="0"/>
    <w:rPr>
      <w:rFonts w:ascii="Times New Roman" w:hAnsi="Times New Roman" w:eastAsia="宋体" w:cs="Times New Roman"/>
      <w:b/>
      <w:bCs/>
      <w:kern w:val="44"/>
      <w:sz w:val="44"/>
      <w:szCs w:val="44"/>
    </w:rPr>
  </w:style>
  <w:style w:type="character" w:customStyle="1" w:styleId="106">
    <w:name w:val="标题 2 Char"/>
    <w:basedOn w:val="96"/>
    <w:link w:val="4"/>
    <w:qFormat/>
    <w:uiPriority w:val="99"/>
    <w:rPr>
      <w:rFonts w:ascii="Cambria" w:hAnsi="Cambria" w:eastAsia="宋体" w:cs="Times New Roman"/>
      <w:b/>
      <w:bCs/>
      <w:kern w:val="0"/>
      <w:sz w:val="32"/>
      <w:szCs w:val="32"/>
    </w:rPr>
  </w:style>
  <w:style w:type="character" w:customStyle="1" w:styleId="107">
    <w:name w:val="标题 3 Char"/>
    <w:basedOn w:val="96"/>
    <w:link w:val="5"/>
    <w:qFormat/>
    <w:uiPriority w:val="99"/>
    <w:rPr>
      <w:rFonts w:ascii="Times New Roman" w:hAnsi="Times New Roman" w:eastAsia="宋体" w:cs="Times New Roman"/>
      <w:b/>
      <w:bCs/>
      <w:kern w:val="0"/>
      <w:sz w:val="32"/>
      <w:szCs w:val="32"/>
    </w:rPr>
  </w:style>
  <w:style w:type="character" w:customStyle="1" w:styleId="108">
    <w:name w:val="标题 4 Char"/>
    <w:basedOn w:val="96"/>
    <w:link w:val="6"/>
    <w:qFormat/>
    <w:uiPriority w:val="99"/>
    <w:rPr>
      <w:rFonts w:ascii="Cambria" w:hAnsi="Cambria" w:eastAsia="宋体" w:cs="Times New Roman"/>
      <w:b/>
      <w:bCs/>
      <w:kern w:val="0"/>
      <w:sz w:val="28"/>
      <w:szCs w:val="28"/>
    </w:rPr>
  </w:style>
  <w:style w:type="character" w:customStyle="1" w:styleId="109">
    <w:name w:val="标题 5 Char"/>
    <w:basedOn w:val="96"/>
    <w:link w:val="7"/>
    <w:qFormat/>
    <w:uiPriority w:val="99"/>
    <w:rPr>
      <w:rFonts w:ascii="Times New Roman" w:hAnsi="Times New Roman" w:eastAsia="宋体" w:cs="Times New Roman"/>
      <w:b/>
      <w:bCs/>
      <w:kern w:val="0"/>
      <w:sz w:val="28"/>
      <w:szCs w:val="28"/>
    </w:rPr>
  </w:style>
  <w:style w:type="character" w:customStyle="1" w:styleId="110">
    <w:name w:val="标题 6 Char"/>
    <w:basedOn w:val="96"/>
    <w:link w:val="8"/>
    <w:qFormat/>
    <w:uiPriority w:val="99"/>
    <w:rPr>
      <w:rFonts w:ascii="Cambria" w:hAnsi="Cambria" w:eastAsia="宋体" w:cs="Times New Roman"/>
      <w:b/>
      <w:bCs/>
      <w:kern w:val="0"/>
      <w:sz w:val="24"/>
      <w:szCs w:val="24"/>
    </w:rPr>
  </w:style>
  <w:style w:type="character" w:customStyle="1" w:styleId="111">
    <w:name w:val="标题 7 Char"/>
    <w:basedOn w:val="96"/>
    <w:link w:val="9"/>
    <w:qFormat/>
    <w:uiPriority w:val="99"/>
    <w:rPr>
      <w:rFonts w:ascii="Times New Roman" w:hAnsi="Times New Roman" w:eastAsia="宋体" w:cs="Times New Roman"/>
      <w:b/>
      <w:bCs/>
      <w:kern w:val="0"/>
      <w:sz w:val="24"/>
      <w:szCs w:val="24"/>
    </w:rPr>
  </w:style>
  <w:style w:type="character" w:customStyle="1" w:styleId="112">
    <w:name w:val="正文文本 Char"/>
    <w:basedOn w:val="96"/>
    <w:link w:val="34"/>
    <w:qFormat/>
    <w:uiPriority w:val="0"/>
    <w:rPr>
      <w:rFonts w:ascii="Times New Roman" w:hAnsi="Times New Roman" w:eastAsia="宋体" w:cs="Times New Roman"/>
      <w:sz w:val="24"/>
      <w:szCs w:val="24"/>
    </w:rPr>
  </w:style>
  <w:style w:type="character" w:customStyle="1" w:styleId="113">
    <w:name w:val="批注框文本 Char"/>
    <w:basedOn w:val="96"/>
    <w:link w:val="54"/>
    <w:qFormat/>
    <w:uiPriority w:val="0"/>
    <w:rPr>
      <w:rFonts w:ascii="Times New Roman" w:hAnsi="Times New Roman" w:eastAsia="宋体" w:cs="Times New Roman"/>
      <w:sz w:val="18"/>
      <w:szCs w:val="18"/>
    </w:rPr>
  </w:style>
  <w:style w:type="paragraph" w:customStyle="1" w:styleId="114">
    <w:name w:val="正文文本缩进 21"/>
    <w:basedOn w:val="1"/>
    <w:link w:val="133"/>
    <w:qFormat/>
    <w:uiPriority w:val="99"/>
    <w:pPr>
      <w:spacing w:after="120" w:line="480" w:lineRule="auto"/>
      <w:ind w:left="420" w:leftChars="200"/>
    </w:pPr>
    <w:rPr>
      <w:sz w:val="24"/>
      <w:szCs w:val="20"/>
    </w:rPr>
  </w:style>
  <w:style w:type="paragraph" w:customStyle="1" w:styleId="115">
    <w:name w:val="日期1"/>
    <w:basedOn w:val="1"/>
    <w:next w:val="1"/>
    <w:link w:val="134"/>
    <w:qFormat/>
    <w:uiPriority w:val="99"/>
    <w:pPr>
      <w:ind w:left="100" w:leftChars="2500"/>
    </w:pPr>
    <w:rPr>
      <w:kern w:val="0"/>
      <w:sz w:val="24"/>
      <w:szCs w:val="20"/>
    </w:rPr>
  </w:style>
  <w:style w:type="paragraph" w:customStyle="1" w:styleId="116">
    <w:name w:val="正文缩进1"/>
    <w:basedOn w:val="1"/>
    <w:qFormat/>
    <w:uiPriority w:val="99"/>
    <w:pPr>
      <w:ind w:firstLine="420"/>
    </w:pPr>
    <w:rPr>
      <w:szCs w:val="20"/>
    </w:rPr>
  </w:style>
  <w:style w:type="paragraph" w:customStyle="1" w:styleId="117">
    <w:name w:val="图表目录1"/>
    <w:basedOn w:val="1"/>
    <w:next w:val="1"/>
    <w:qFormat/>
    <w:uiPriority w:val="99"/>
    <w:pPr>
      <w:ind w:left="840" w:leftChars="200" w:hanging="420" w:hangingChars="200"/>
    </w:pPr>
  </w:style>
  <w:style w:type="paragraph" w:customStyle="1" w:styleId="118">
    <w:name w:val="正文文本缩进1"/>
    <w:basedOn w:val="1"/>
    <w:link w:val="136"/>
    <w:qFormat/>
    <w:uiPriority w:val="99"/>
    <w:pPr>
      <w:tabs>
        <w:tab w:val="right" w:leader="dot" w:pos="9360"/>
        <w:tab w:val="right" w:leader="dot" w:pos="9450"/>
        <w:tab w:val="right" w:leader="dot" w:pos="11340"/>
        <w:tab w:val="right" w:leader="dot" w:pos="14742"/>
      </w:tabs>
      <w:ind w:left="-359" w:leftChars="-171"/>
    </w:pPr>
    <w:rPr>
      <w:kern w:val="0"/>
      <w:sz w:val="24"/>
      <w:szCs w:val="20"/>
    </w:rPr>
  </w:style>
  <w:style w:type="paragraph" w:customStyle="1" w:styleId="119">
    <w:name w:val="Char Char1"/>
    <w:basedOn w:val="1"/>
    <w:qFormat/>
    <w:uiPriority w:val="0"/>
    <w:rPr>
      <w:rFonts w:ascii="Tahoma" w:hAnsi="Tahoma"/>
      <w:sz w:val="24"/>
      <w:szCs w:val="20"/>
    </w:rPr>
  </w:style>
  <w:style w:type="paragraph" w:customStyle="1" w:styleId="120">
    <w:name w:val="章标题"/>
    <w:next w:val="12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21">
    <w:name w:val="段"/>
    <w:link w:val="17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2">
    <w:name w:val="普通(网站)1"/>
    <w:basedOn w:val="1"/>
    <w:qFormat/>
    <w:uiPriority w:val="99"/>
    <w:pPr>
      <w:widowControl/>
      <w:spacing w:line="300" w:lineRule="atLeast"/>
      <w:jc w:val="left"/>
    </w:pPr>
    <w:rPr>
      <w:rFonts w:ascii="宋体" w:hAnsi="宋体" w:cs="宋体"/>
      <w:kern w:val="0"/>
      <w:sz w:val="24"/>
    </w:rPr>
  </w:style>
  <w:style w:type="paragraph" w:customStyle="1" w:styleId="123">
    <w:name w:val="列表1"/>
    <w:basedOn w:val="1"/>
    <w:qFormat/>
    <w:uiPriority w:val="99"/>
    <w:pPr>
      <w:ind w:left="200" w:hanging="200" w:hangingChars="200"/>
    </w:pPr>
  </w:style>
  <w:style w:type="paragraph" w:customStyle="1" w:styleId="124">
    <w:name w:val="Char"/>
    <w:basedOn w:val="1"/>
    <w:qFormat/>
    <w:uiPriority w:val="99"/>
    <w:pPr>
      <w:widowControl/>
      <w:jc w:val="left"/>
    </w:pPr>
    <w:rPr>
      <w:rFonts w:ascii="宋体" w:hAnsi="宋体" w:cs="Courier New"/>
      <w:kern w:val="0"/>
      <w:sz w:val="32"/>
      <w:szCs w:val="32"/>
    </w:rPr>
  </w:style>
  <w:style w:type="paragraph" w:customStyle="1" w:styleId="125">
    <w:name w:val="列出段落1"/>
    <w:basedOn w:val="1"/>
    <w:qFormat/>
    <w:uiPriority w:val="99"/>
    <w:pPr>
      <w:ind w:firstLine="420" w:firstLineChars="200"/>
    </w:pPr>
  </w:style>
  <w:style w:type="paragraph" w:customStyle="1" w:styleId="126">
    <w:name w:val="文档结构图1"/>
    <w:basedOn w:val="1"/>
    <w:link w:val="137"/>
    <w:qFormat/>
    <w:uiPriority w:val="99"/>
    <w:pPr>
      <w:shd w:val="clear" w:color="auto" w:fill="000080"/>
    </w:pPr>
    <w:rPr>
      <w:kern w:val="0"/>
      <w:sz w:val="2"/>
      <w:szCs w:val="20"/>
    </w:rPr>
  </w:style>
  <w:style w:type="paragraph" w:customStyle="1" w:styleId="127">
    <w:name w:val="二级条标题"/>
    <w:basedOn w:val="1"/>
    <w:next w:val="1"/>
    <w:qFormat/>
    <w:uiPriority w:val="0"/>
    <w:pPr>
      <w:widowControl/>
      <w:spacing w:line="360" w:lineRule="auto"/>
      <w:jc w:val="left"/>
      <w:outlineLvl w:val="3"/>
    </w:pPr>
    <w:rPr>
      <w:rFonts w:ascii="仿宋_GB2312" w:eastAsia="仿宋_GB2312"/>
      <w:sz w:val="28"/>
      <w:szCs w:val="28"/>
    </w:rPr>
  </w:style>
  <w:style w:type="paragraph" w:customStyle="1" w:styleId="128">
    <w:name w:val="样式1"/>
    <w:basedOn w:val="57"/>
    <w:link w:val="132"/>
    <w:qFormat/>
    <w:uiPriority w:val="99"/>
    <w:pPr>
      <w:pBdr>
        <w:bottom w:val="single" w:color="auto" w:sz="12" w:space="1"/>
      </w:pBdr>
    </w:pPr>
  </w:style>
  <w:style w:type="paragraph" w:customStyle="1" w:styleId="129">
    <w:name w:val="Char Char Char Char Char Char Char Char Char Char"/>
    <w:basedOn w:val="5"/>
    <w:qFormat/>
    <w:uiPriority w:val="99"/>
    <w:pPr>
      <w:keepLines/>
      <w:spacing w:before="260" w:after="260" w:line="240" w:lineRule="atLeast"/>
      <w:ind w:firstLine="0" w:firstLineChars="0"/>
      <w:jc w:val="left"/>
    </w:pPr>
    <w:rPr>
      <w:sz w:val="24"/>
      <w:szCs w:val="21"/>
    </w:rPr>
  </w:style>
  <w:style w:type="character" w:customStyle="1" w:styleId="130">
    <w:name w:val="st"/>
    <w:qFormat/>
    <w:uiPriority w:val="99"/>
  </w:style>
  <w:style w:type="character" w:customStyle="1" w:styleId="131">
    <w:name w:val="word_other"/>
    <w:qFormat/>
    <w:uiPriority w:val="99"/>
  </w:style>
  <w:style w:type="character" w:customStyle="1" w:styleId="132">
    <w:name w:val="样式1 Char"/>
    <w:link w:val="128"/>
    <w:qFormat/>
    <w:locked/>
    <w:uiPriority w:val="99"/>
    <w:rPr>
      <w:rFonts w:ascii="Times New Roman" w:hAnsi="Times New Roman" w:eastAsia="宋体" w:cs="Times New Roman"/>
      <w:sz w:val="18"/>
      <w:szCs w:val="18"/>
    </w:rPr>
  </w:style>
  <w:style w:type="character" w:customStyle="1" w:styleId="133">
    <w:name w:val="正文文本缩进 2 Char"/>
    <w:link w:val="114"/>
    <w:qFormat/>
    <w:locked/>
    <w:uiPriority w:val="99"/>
    <w:rPr>
      <w:rFonts w:ascii="Times New Roman" w:hAnsi="Times New Roman" w:eastAsia="宋体" w:cs="Times New Roman"/>
      <w:sz w:val="24"/>
      <w:szCs w:val="20"/>
    </w:rPr>
  </w:style>
  <w:style w:type="character" w:customStyle="1" w:styleId="134">
    <w:name w:val="日期 Char"/>
    <w:link w:val="115"/>
    <w:qFormat/>
    <w:locked/>
    <w:uiPriority w:val="99"/>
    <w:rPr>
      <w:rFonts w:ascii="Times New Roman" w:hAnsi="Times New Roman" w:eastAsia="宋体" w:cs="Times New Roman"/>
      <w:kern w:val="0"/>
      <w:sz w:val="24"/>
      <w:szCs w:val="20"/>
    </w:rPr>
  </w:style>
  <w:style w:type="character" w:customStyle="1" w:styleId="135">
    <w:name w:val="webdict1"/>
    <w:qFormat/>
    <w:uiPriority w:val="99"/>
    <w:rPr>
      <w:b/>
    </w:rPr>
  </w:style>
  <w:style w:type="character" w:customStyle="1" w:styleId="136">
    <w:name w:val="正文文本缩进 Char"/>
    <w:link w:val="118"/>
    <w:qFormat/>
    <w:locked/>
    <w:uiPriority w:val="99"/>
    <w:rPr>
      <w:rFonts w:ascii="Times New Roman" w:hAnsi="Times New Roman" w:eastAsia="宋体" w:cs="Times New Roman"/>
      <w:kern w:val="0"/>
      <w:sz w:val="24"/>
      <w:szCs w:val="20"/>
    </w:rPr>
  </w:style>
  <w:style w:type="character" w:customStyle="1" w:styleId="137">
    <w:name w:val="文档结构图 Char"/>
    <w:link w:val="126"/>
    <w:qFormat/>
    <w:locked/>
    <w:uiPriority w:val="99"/>
    <w:rPr>
      <w:rFonts w:ascii="Times New Roman" w:hAnsi="Times New Roman" w:eastAsia="宋体" w:cs="Times New Roman"/>
      <w:kern w:val="0"/>
      <w:sz w:val="2"/>
      <w:szCs w:val="20"/>
      <w:shd w:val="clear" w:color="auto" w:fill="000080"/>
    </w:rPr>
  </w:style>
  <w:style w:type="character" w:customStyle="1" w:styleId="138">
    <w:name w:val="页码1"/>
    <w:qFormat/>
    <w:uiPriority w:val="99"/>
  </w:style>
  <w:style w:type="character" w:customStyle="1" w:styleId="139">
    <w:name w:val="label_list1"/>
    <w:qFormat/>
    <w:uiPriority w:val="99"/>
    <w:rPr>
      <w:rFonts w:cs="Times New Roman"/>
    </w:rPr>
  </w:style>
  <w:style w:type="character" w:customStyle="1" w:styleId="140">
    <w:name w:val="日期 Char1"/>
    <w:basedOn w:val="96"/>
    <w:link w:val="50"/>
    <w:semiHidden/>
    <w:qFormat/>
    <w:uiPriority w:val="99"/>
    <w:rPr>
      <w:rFonts w:ascii="Times New Roman" w:hAnsi="Times New Roman" w:eastAsia="宋体" w:cs="Times New Roman"/>
      <w:szCs w:val="24"/>
    </w:rPr>
  </w:style>
  <w:style w:type="table" w:customStyle="1" w:styleId="141">
    <w:name w:val="网格型1"/>
    <w:basedOn w:val="8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2">
    <w:name w:val="普通(网站) Char"/>
    <w:link w:val="81"/>
    <w:qFormat/>
    <w:locked/>
    <w:uiPriority w:val="0"/>
    <w:rPr>
      <w:rFonts w:ascii="宋体" w:hAnsi="宋体" w:eastAsia="宋体" w:cs="宋体"/>
      <w:kern w:val="0"/>
      <w:sz w:val="24"/>
      <w:szCs w:val="24"/>
    </w:rPr>
  </w:style>
  <w:style w:type="character" w:customStyle="1" w:styleId="143">
    <w:name w:val="批注文字 Char"/>
    <w:basedOn w:val="96"/>
    <w:link w:val="28"/>
    <w:semiHidden/>
    <w:qFormat/>
    <w:uiPriority w:val="0"/>
    <w:rPr>
      <w:rFonts w:ascii="Times New Roman" w:hAnsi="Times New Roman" w:eastAsia="宋体" w:cs="Times New Roman"/>
      <w:szCs w:val="20"/>
    </w:rPr>
  </w:style>
  <w:style w:type="paragraph" w:customStyle="1" w:styleId="144">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45">
    <w:name w:val="批注主题 Char"/>
    <w:basedOn w:val="143"/>
    <w:link w:val="85"/>
    <w:semiHidden/>
    <w:qFormat/>
    <w:uiPriority w:val="99"/>
    <w:rPr>
      <w:rFonts w:ascii="Times New Roman" w:hAnsi="Times New Roman" w:eastAsia="宋体" w:cs="Times New Roman"/>
      <w:b/>
      <w:bCs/>
      <w:szCs w:val="24"/>
    </w:rPr>
  </w:style>
  <w:style w:type="character" w:customStyle="1" w:styleId="146">
    <w:name w:val="fontstyle01"/>
    <w:basedOn w:val="96"/>
    <w:qFormat/>
    <w:uiPriority w:val="0"/>
    <w:rPr>
      <w:rFonts w:hint="default" w:ascii="TimesNewRoman" w:hAnsi="TimesNewRoman"/>
      <w:color w:val="000000"/>
      <w:sz w:val="22"/>
      <w:szCs w:val="22"/>
    </w:rPr>
  </w:style>
  <w:style w:type="character" w:customStyle="1" w:styleId="147">
    <w:name w:val="fontstyle21"/>
    <w:basedOn w:val="96"/>
    <w:qFormat/>
    <w:uiPriority w:val="0"/>
    <w:rPr>
      <w:rFonts w:hint="default" w:ascii="TimesNewRoman" w:hAnsi="TimesNewRoman"/>
      <w:i/>
      <w:iCs/>
      <w:color w:val="000000"/>
      <w:sz w:val="22"/>
      <w:szCs w:val="22"/>
    </w:rPr>
  </w:style>
  <w:style w:type="character" w:customStyle="1" w:styleId="148">
    <w:name w:val="fontstyle31"/>
    <w:basedOn w:val="96"/>
    <w:qFormat/>
    <w:uiPriority w:val="0"/>
    <w:rPr>
      <w:rFonts w:hint="default" w:ascii="Symbol" w:hAnsi="Symbol"/>
      <w:color w:val="000000"/>
      <w:sz w:val="22"/>
      <w:szCs w:val="22"/>
    </w:rPr>
  </w:style>
  <w:style w:type="character" w:customStyle="1" w:styleId="149">
    <w:name w:val="fontstyle11"/>
    <w:basedOn w:val="96"/>
    <w:qFormat/>
    <w:uiPriority w:val="0"/>
    <w:rPr>
      <w:rFonts w:hint="default" w:ascii="TimesNewRoman" w:hAnsi="TimesNewRoman"/>
      <w:color w:val="000000"/>
      <w:sz w:val="18"/>
      <w:szCs w:val="18"/>
    </w:rPr>
  </w:style>
  <w:style w:type="character" w:customStyle="1" w:styleId="150">
    <w:name w:val="纯文本 Char"/>
    <w:basedOn w:val="96"/>
    <w:link w:val="45"/>
    <w:qFormat/>
    <w:uiPriority w:val="0"/>
    <w:rPr>
      <w:rFonts w:ascii="宋体" w:hAnsi="Courier New" w:eastAsia="宋体" w:cs="Times New Roman"/>
      <w:szCs w:val="20"/>
    </w:rPr>
  </w:style>
  <w:style w:type="paragraph" w:customStyle="1" w:styleId="151">
    <w:name w:val="附录表标号"/>
    <w:basedOn w:val="1"/>
    <w:next w:val="121"/>
    <w:qFormat/>
    <w:uiPriority w:val="0"/>
    <w:pPr>
      <w:numPr>
        <w:ilvl w:val="0"/>
        <w:numId w:val="1"/>
      </w:numPr>
      <w:tabs>
        <w:tab w:val="clear" w:pos="0"/>
      </w:tabs>
      <w:spacing w:line="14" w:lineRule="exact"/>
      <w:ind w:left="811" w:hanging="448"/>
      <w:jc w:val="center"/>
      <w:outlineLvl w:val="0"/>
    </w:pPr>
    <w:rPr>
      <w:color w:val="FFFFFF"/>
    </w:rPr>
  </w:style>
  <w:style w:type="paragraph" w:customStyle="1" w:styleId="152">
    <w:name w:val="附录表标题"/>
    <w:basedOn w:val="1"/>
    <w:next w:val="121"/>
    <w:qFormat/>
    <w:uiPriority w:val="0"/>
    <w:pPr>
      <w:numPr>
        <w:ilvl w:val="1"/>
        <w:numId w:val="1"/>
      </w:numPr>
      <w:tabs>
        <w:tab w:val="left" w:pos="180"/>
      </w:tabs>
      <w:spacing w:beforeLines="50" w:afterLines="50"/>
      <w:ind w:left="0" w:firstLine="0"/>
      <w:jc w:val="center"/>
    </w:pPr>
    <w:rPr>
      <w:rFonts w:ascii="黑体" w:eastAsia="黑体"/>
      <w:szCs w:val="21"/>
    </w:rPr>
  </w:style>
  <w:style w:type="character" w:customStyle="1" w:styleId="153">
    <w:name w:val="正文文本缩进 Char1"/>
    <w:basedOn w:val="96"/>
    <w:link w:val="35"/>
    <w:semiHidden/>
    <w:qFormat/>
    <w:uiPriority w:val="99"/>
    <w:rPr>
      <w:rFonts w:ascii="Times New Roman" w:hAnsi="Times New Roman" w:eastAsia="宋体" w:cs="Times New Roman"/>
      <w:szCs w:val="24"/>
    </w:rPr>
  </w:style>
  <w:style w:type="character" w:customStyle="1" w:styleId="154">
    <w:name w:val="标题 8 Char"/>
    <w:basedOn w:val="96"/>
    <w:link w:val="10"/>
    <w:qFormat/>
    <w:uiPriority w:val="0"/>
    <w:rPr>
      <w:rFonts w:ascii="Arial" w:hAnsi="Arial" w:eastAsia="黑体" w:cs="Times New Roman"/>
      <w:sz w:val="24"/>
      <w:szCs w:val="24"/>
    </w:rPr>
  </w:style>
  <w:style w:type="character" w:customStyle="1" w:styleId="155">
    <w:name w:val="标题 9 Char"/>
    <w:basedOn w:val="96"/>
    <w:link w:val="11"/>
    <w:qFormat/>
    <w:uiPriority w:val="0"/>
    <w:rPr>
      <w:rFonts w:ascii="Arial" w:hAnsi="Arial" w:eastAsia="黑体" w:cs="Times New Roman"/>
      <w:szCs w:val="21"/>
    </w:rPr>
  </w:style>
  <w:style w:type="character" w:customStyle="1" w:styleId="156">
    <w:name w:val="宏文本 Char"/>
    <w:basedOn w:val="96"/>
    <w:link w:val="2"/>
    <w:semiHidden/>
    <w:qFormat/>
    <w:uiPriority w:val="0"/>
    <w:rPr>
      <w:rFonts w:ascii="Courier New" w:hAnsi="Courier New" w:eastAsia="宋体" w:cs="Courier New"/>
      <w:sz w:val="24"/>
      <w:szCs w:val="24"/>
    </w:rPr>
  </w:style>
  <w:style w:type="character" w:customStyle="1" w:styleId="157">
    <w:name w:val="注释标题 Char"/>
    <w:basedOn w:val="96"/>
    <w:link w:val="16"/>
    <w:qFormat/>
    <w:uiPriority w:val="0"/>
    <w:rPr>
      <w:rFonts w:ascii="Times New Roman" w:hAnsi="Times New Roman" w:eastAsia="宋体" w:cs="Times New Roman"/>
      <w:sz w:val="24"/>
      <w:szCs w:val="24"/>
    </w:rPr>
  </w:style>
  <w:style w:type="character" w:customStyle="1" w:styleId="158">
    <w:name w:val="电子邮件签名 Char"/>
    <w:basedOn w:val="96"/>
    <w:link w:val="19"/>
    <w:qFormat/>
    <w:uiPriority w:val="0"/>
    <w:rPr>
      <w:rFonts w:ascii="Times New Roman" w:hAnsi="Times New Roman" w:eastAsia="宋体" w:cs="Times New Roman"/>
      <w:sz w:val="24"/>
      <w:szCs w:val="24"/>
    </w:rPr>
  </w:style>
  <w:style w:type="character" w:customStyle="1" w:styleId="159">
    <w:name w:val="文档结构图 Char1"/>
    <w:basedOn w:val="96"/>
    <w:link w:val="26"/>
    <w:semiHidden/>
    <w:qFormat/>
    <w:uiPriority w:val="0"/>
    <w:rPr>
      <w:rFonts w:ascii="Times New Roman" w:hAnsi="Times New Roman" w:eastAsia="宋体" w:cs="Times New Roman"/>
      <w:sz w:val="24"/>
      <w:szCs w:val="24"/>
      <w:shd w:val="clear" w:color="auto" w:fill="000080"/>
    </w:rPr>
  </w:style>
  <w:style w:type="character" w:customStyle="1" w:styleId="160">
    <w:name w:val="称呼 Char"/>
    <w:basedOn w:val="96"/>
    <w:link w:val="30"/>
    <w:qFormat/>
    <w:uiPriority w:val="0"/>
    <w:rPr>
      <w:rFonts w:ascii="Times New Roman" w:hAnsi="Times New Roman" w:eastAsia="宋体" w:cs="Times New Roman"/>
      <w:sz w:val="24"/>
      <w:szCs w:val="24"/>
    </w:rPr>
  </w:style>
  <w:style w:type="character" w:customStyle="1" w:styleId="161">
    <w:name w:val="正文文本 3 Char"/>
    <w:basedOn w:val="96"/>
    <w:link w:val="31"/>
    <w:qFormat/>
    <w:uiPriority w:val="0"/>
    <w:rPr>
      <w:rFonts w:ascii="Times New Roman" w:hAnsi="Times New Roman" w:eastAsia="宋体" w:cs="Times New Roman"/>
      <w:sz w:val="16"/>
      <w:szCs w:val="16"/>
    </w:rPr>
  </w:style>
  <w:style w:type="character" w:customStyle="1" w:styleId="162">
    <w:name w:val="结束语 Char"/>
    <w:basedOn w:val="96"/>
    <w:link w:val="32"/>
    <w:qFormat/>
    <w:uiPriority w:val="0"/>
    <w:rPr>
      <w:rFonts w:ascii="Times New Roman" w:hAnsi="Times New Roman" w:eastAsia="宋体" w:cs="Times New Roman"/>
      <w:sz w:val="24"/>
      <w:szCs w:val="24"/>
    </w:rPr>
  </w:style>
  <w:style w:type="character" w:customStyle="1" w:styleId="163">
    <w:name w:val="HTML 地址 Char"/>
    <w:basedOn w:val="96"/>
    <w:link w:val="41"/>
    <w:qFormat/>
    <w:uiPriority w:val="0"/>
    <w:rPr>
      <w:rFonts w:ascii="Times New Roman" w:hAnsi="Times New Roman" w:eastAsia="宋体" w:cs="Times New Roman"/>
      <w:i/>
      <w:iCs/>
      <w:sz w:val="24"/>
      <w:szCs w:val="24"/>
    </w:rPr>
  </w:style>
  <w:style w:type="character" w:customStyle="1" w:styleId="164">
    <w:name w:val="正文文本缩进 2 Char1"/>
    <w:basedOn w:val="96"/>
    <w:link w:val="51"/>
    <w:qFormat/>
    <w:uiPriority w:val="0"/>
    <w:rPr>
      <w:rFonts w:ascii="Times New Roman" w:hAnsi="Times New Roman" w:eastAsia="宋体" w:cs="Times New Roman"/>
      <w:sz w:val="24"/>
      <w:szCs w:val="24"/>
    </w:rPr>
  </w:style>
  <w:style w:type="character" w:customStyle="1" w:styleId="165">
    <w:name w:val="尾注文本 Char"/>
    <w:basedOn w:val="96"/>
    <w:link w:val="52"/>
    <w:semiHidden/>
    <w:qFormat/>
    <w:uiPriority w:val="0"/>
    <w:rPr>
      <w:rFonts w:ascii="Times New Roman" w:hAnsi="Times New Roman" w:eastAsia="宋体" w:cs="Times New Roman"/>
      <w:sz w:val="24"/>
      <w:szCs w:val="24"/>
    </w:rPr>
  </w:style>
  <w:style w:type="character" w:customStyle="1" w:styleId="166">
    <w:name w:val="签名 Char"/>
    <w:basedOn w:val="96"/>
    <w:link w:val="58"/>
    <w:qFormat/>
    <w:uiPriority w:val="0"/>
    <w:rPr>
      <w:rFonts w:ascii="Times New Roman" w:hAnsi="Times New Roman" w:eastAsia="宋体" w:cs="Times New Roman"/>
      <w:sz w:val="24"/>
      <w:szCs w:val="24"/>
    </w:rPr>
  </w:style>
  <w:style w:type="paragraph" w:customStyle="1" w:styleId="167">
    <w:name w:val="副标题1"/>
    <w:basedOn w:val="1"/>
    <w:next w:val="1"/>
    <w:qFormat/>
    <w:uiPriority w:val="0"/>
    <w:pPr>
      <w:adjustRightInd w:val="0"/>
      <w:spacing w:line="312" w:lineRule="auto"/>
      <w:ind w:left="100" w:leftChars="100" w:right="100" w:rightChars="100"/>
      <w:jc w:val="left"/>
      <w:outlineLvl w:val="1"/>
    </w:pPr>
    <w:rPr>
      <w:rFonts w:ascii="Cambria" w:hAnsi="Cambria" w:eastAsia="等线"/>
      <w:bCs/>
      <w:kern w:val="28"/>
      <w:sz w:val="24"/>
      <w:szCs w:val="32"/>
    </w:rPr>
  </w:style>
  <w:style w:type="character" w:customStyle="1" w:styleId="168">
    <w:name w:val="脚注文本 Char"/>
    <w:basedOn w:val="96"/>
    <w:link w:val="67"/>
    <w:semiHidden/>
    <w:qFormat/>
    <w:uiPriority w:val="0"/>
    <w:rPr>
      <w:rFonts w:ascii="Times New Roman" w:hAnsi="Times New Roman" w:eastAsia="宋体" w:cs="Times New Roman"/>
      <w:sz w:val="18"/>
      <w:szCs w:val="18"/>
    </w:rPr>
  </w:style>
  <w:style w:type="character" w:customStyle="1" w:styleId="169">
    <w:name w:val="正文文本缩进 3 Char"/>
    <w:basedOn w:val="96"/>
    <w:link w:val="70"/>
    <w:qFormat/>
    <w:uiPriority w:val="0"/>
    <w:rPr>
      <w:rFonts w:ascii="Times New Roman" w:hAnsi="Times New Roman" w:eastAsia="宋体" w:cs="Times New Roman"/>
      <w:sz w:val="16"/>
      <w:szCs w:val="16"/>
    </w:rPr>
  </w:style>
  <w:style w:type="character" w:customStyle="1" w:styleId="170">
    <w:name w:val="正文文本 2 Char"/>
    <w:basedOn w:val="96"/>
    <w:link w:val="76"/>
    <w:qFormat/>
    <w:uiPriority w:val="0"/>
    <w:rPr>
      <w:rFonts w:ascii="Times New Roman" w:hAnsi="Times New Roman" w:eastAsia="宋体" w:cs="Times New Roman"/>
      <w:sz w:val="24"/>
      <w:szCs w:val="24"/>
    </w:rPr>
  </w:style>
  <w:style w:type="character" w:customStyle="1" w:styleId="171">
    <w:name w:val="信息标题 Char"/>
    <w:basedOn w:val="96"/>
    <w:link w:val="79"/>
    <w:qFormat/>
    <w:uiPriority w:val="0"/>
    <w:rPr>
      <w:rFonts w:ascii="Arial" w:hAnsi="Arial" w:eastAsia="宋体" w:cs="Arial"/>
      <w:sz w:val="24"/>
      <w:szCs w:val="24"/>
      <w:shd w:val="pct20" w:color="auto" w:fill="auto"/>
    </w:rPr>
  </w:style>
  <w:style w:type="character" w:customStyle="1" w:styleId="172">
    <w:name w:val="HTML 预设格式 Char"/>
    <w:basedOn w:val="96"/>
    <w:link w:val="80"/>
    <w:qFormat/>
    <w:uiPriority w:val="0"/>
    <w:rPr>
      <w:rFonts w:ascii="Courier New" w:hAnsi="Courier New" w:eastAsia="宋体" w:cs="Courier New"/>
      <w:sz w:val="20"/>
      <w:szCs w:val="20"/>
    </w:rPr>
  </w:style>
  <w:style w:type="paragraph" w:customStyle="1" w:styleId="173">
    <w:name w:val="标题1"/>
    <w:basedOn w:val="1"/>
    <w:next w:val="1"/>
    <w:qFormat/>
    <w:uiPriority w:val="0"/>
    <w:pPr>
      <w:spacing w:before="240" w:after="60" w:line="312" w:lineRule="auto"/>
      <w:jc w:val="center"/>
      <w:outlineLvl w:val="0"/>
    </w:pPr>
    <w:rPr>
      <w:rFonts w:ascii="Cambria" w:hAnsi="Cambria" w:eastAsia="等线"/>
      <w:b/>
      <w:bCs/>
      <w:sz w:val="32"/>
      <w:szCs w:val="32"/>
    </w:rPr>
  </w:style>
  <w:style w:type="character" w:customStyle="1" w:styleId="174">
    <w:name w:val="正文首行缩进 Char"/>
    <w:basedOn w:val="112"/>
    <w:link w:val="86"/>
    <w:qFormat/>
    <w:uiPriority w:val="0"/>
    <w:rPr>
      <w:rFonts w:ascii="Times New Roman" w:hAnsi="Times New Roman" w:eastAsia="宋体" w:cs="Times New Roman"/>
      <w:sz w:val="24"/>
      <w:szCs w:val="24"/>
      <w:lang w:val="zh-CN"/>
    </w:rPr>
  </w:style>
  <w:style w:type="character" w:customStyle="1" w:styleId="175">
    <w:name w:val="正文首行缩进 2 Char"/>
    <w:basedOn w:val="153"/>
    <w:link w:val="87"/>
    <w:qFormat/>
    <w:uiPriority w:val="0"/>
    <w:rPr>
      <w:rFonts w:ascii="Times New Roman" w:hAnsi="Times New Roman" w:eastAsia="宋体" w:cs="Times New Roman"/>
      <w:sz w:val="24"/>
      <w:szCs w:val="24"/>
    </w:rPr>
  </w:style>
  <w:style w:type="paragraph" w:customStyle="1" w:styleId="176">
    <w:name w:val="修订11"/>
    <w:hidden/>
    <w:qFormat/>
    <w:uiPriority w:val="99"/>
    <w:rPr>
      <w:rFonts w:ascii="Times New Roman" w:hAnsi="Times New Roman" w:eastAsia="宋体" w:cs="Times New Roman"/>
      <w:kern w:val="2"/>
      <w:sz w:val="21"/>
      <w:szCs w:val="24"/>
      <w:lang w:val="en-US" w:eastAsia="zh-CN" w:bidi="ar-SA"/>
    </w:rPr>
  </w:style>
  <w:style w:type="character" w:customStyle="1" w:styleId="177">
    <w:name w:val="段 Char"/>
    <w:link w:val="121"/>
    <w:qFormat/>
    <w:uiPriority w:val="0"/>
    <w:rPr>
      <w:rFonts w:ascii="宋体" w:hAnsi="Times New Roman" w:eastAsia="宋体" w:cs="Times New Roman"/>
      <w:kern w:val="0"/>
      <w:szCs w:val="20"/>
    </w:rPr>
  </w:style>
  <w:style w:type="paragraph" w:customStyle="1" w:styleId="178">
    <w:name w:val="一级条标题"/>
    <w:next w:val="121"/>
    <w:qFormat/>
    <w:uiPriority w:val="0"/>
    <w:pPr>
      <w:spacing w:beforeLines="50" w:afterLines="50"/>
      <w:ind w:left="283"/>
      <w:outlineLvl w:val="2"/>
    </w:pPr>
    <w:rPr>
      <w:rFonts w:ascii="黑体" w:hAnsi="Times New Roman" w:eastAsia="黑体" w:cs="Times New Roman"/>
      <w:sz w:val="21"/>
      <w:szCs w:val="21"/>
      <w:lang w:val="en-US" w:eastAsia="zh-CN" w:bidi="ar-SA"/>
    </w:rPr>
  </w:style>
  <w:style w:type="paragraph" w:customStyle="1" w:styleId="179">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180">
    <w:name w:val="列项●（二级）"/>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181">
    <w:name w:val="四级条标题"/>
    <w:basedOn w:val="1"/>
    <w:next w:val="121"/>
    <w:qFormat/>
    <w:uiPriority w:val="0"/>
    <w:pPr>
      <w:widowControl/>
      <w:spacing w:beforeLines="50" w:afterLines="50"/>
      <w:jc w:val="left"/>
      <w:outlineLvl w:val="5"/>
    </w:pPr>
    <w:rPr>
      <w:rFonts w:ascii="黑体" w:eastAsia="黑体"/>
      <w:kern w:val="0"/>
      <w:szCs w:val="21"/>
    </w:rPr>
  </w:style>
  <w:style w:type="paragraph" w:customStyle="1" w:styleId="182">
    <w:name w:val="五级条标题"/>
    <w:basedOn w:val="181"/>
    <w:next w:val="121"/>
    <w:qFormat/>
    <w:uiPriority w:val="0"/>
    <w:pPr>
      <w:outlineLvl w:val="6"/>
    </w:pPr>
  </w:style>
  <w:style w:type="paragraph" w:customStyle="1" w:styleId="183">
    <w:name w:val="注："/>
    <w:next w:val="121"/>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列项◆（三级）"/>
    <w:basedOn w:val="1"/>
    <w:qFormat/>
    <w:uiPriority w:val="0"/>
    <w:pPr>
      <w:numPr>
        <w:ilvl w:val="2"/>
        <w:numId w:val="2"/>
      </w:numPr>
    </w:pPr>
    <w:rPr>
      <w:rFonts w:ascii="宋体"/>
      <w:szCs w:val="21"/>
    </w:rPr>
  </w:style>
  <w:style w:type="paragraph" w:customStyle="1" w:styleId="185">
    <w:name w:val="注：（正文）"/>
    <w:basedOn w:val="183"/>
    <w:next w:val="121"/>
    <w:qFormat/>
    <w:uiPriority w:val="0"/>
  </w:style>
  <w:style w:type="paragraph" w:customStyle="1" w:styleId="186">
    <w:name w:val="正文图标题"/>
    <w:next w:val="121"/>
    <w:qFormat/>
    <w:uiPriority w:val="0"/>
    <w:pPr>
      <w:numPr>
        <w:ilvl w:val="0"/>
        <w:numId w:val="4"/>
      </w:numPr>
      <w:spacing w:beforeLines="50" w:afterLines="50"/>
      <w:jc w:val="center"/>
    </w:pPr>
    <w:rPr>
      <w:rFonts w:ascii="黑体" w:hAnsi="Times New Roman" w:eastAsia="黑体" w:cs="Times New Roman"/>
      <w:sz w:val="21"/>
      <w:lang w:val="en-US" w:eastAsia="zh-CN" w:bidi="ar-SA"/>
    </w:rPr>
  </w:style>
  <w:style w:type="paragraph" w:customStyle="1" w:styleId="187">
    <w:name w:val="列出段落2"/>
    <w:basedOn w:val="1"/>
    <w:next w:val="188"/>
    <w:qFormat/>
    <w:uiPriority w:val="34"/>
    <w:pPr>
      <w:ind w:firstLine="420" w:firstLineChars="200"/>
    </w:pPr>
    <w:rPr>
      <w:rFonts w:ascii="等线" w:hAnsi="等线" w:eastAsia="等线"/>
      <w:szCs w:val="22"/>
    </w:rPr>
  </w:style>
  <w:style w:type="paragraph" w:styleId="188">
    <w:name w:val="List Paragraph"/>
    <w:basedOn w:val="1"/>
    <w:qFormat/>
    <w:uiPriority w:val="34"/>
    <w:pPr>
      <w:ind w:firstLine="420" w:firstLineChars="200"/>
    </w:pPr>
  </w:style>
  <w:style w:type="character" w:customStyle="1" w:styleId="189">
    <w:name w:val="标题 Char"/>
    <w:link w:val="84"/>
    <w:qFormat/>
    <w:uiPriority w:val="0"/>
    <w:rPr>
      <w:rFonts w:ascii="Cambria" w:hAnsi="Cambria" w:cs="Times New Roman"/>
      <w:b/>
      <w:bCs/>
      <w:sz w:val="32"/>
      <w:szCs w:val="32"/>
    </w:rPr>
  </w:style>
  <w:style w:type="character" w:customStyle="1" w:styleId="190">
    <w:name w:val="副标题 Char"/>
    <w:link w:val="64"/>
    <w:qFormat/>
    <w:uiPriority w:val="0"/>
    <w:rPr>
      <w:rFonts w:ascii="Cambria" w:hAnsi="Cambria"/>
      <w:bCs/>
      <w:kern w:val="28"/>
      <w:sz w:val="24"/>
      <w:szCs w:val="32"/>
    </w:rPr>
  </w:style>
  <w:style w:type="character" w:customStyle="1" w:styleId="191">
    <w:name w:val="apple-style-span"/>
    <w:basedOn w:val="96"/>
    <w:qFormat/>
    <w:uiPriority w:val="0"/>
  </w:style>
  <w:style w:type="character" w:customStyle="1" w:styleId="192">
    <w:name w:val="bluetxt1"/>
    <w:basedOn w:val="96"/>
    <w:qFormat/>
    <w:uiPriority w:val="0"/>
  </w:style>
  <w:style w:type="character" w:customStyle="1" w:styleId="193">
    <w:name w:val="hps"/>
    <w:basedOn w:val="96"/>
    <w:qFormat/>
    <w:uiPriority w:val="0"/>
  </w:style>
  <w:style w:type="character" w:customStyle="1" w:styleId="194">
    <w:name w:val="short_text"/>
    <w:basedOn w:val="96"/>
    <w:qFormat/>
    <w:uiPriority w:val="0"/>
  </w:style>
  <w:style w:type="character" w:customStyle="1" w:styleId="195">
    <w:name w:val="A0"/>
    <w:qFormat/>
    <w:uiPriority w:val="99"/>
    <w:rPr>
      <w:rFonts w:cs="DFPHei Std W9"/>
      <w:color w:val="FFFFFF"/>
      <w:sz w:val="46"/>
      <w:szCs w:val="46"/>
    </w:rPr>
  </w:style>
  <w:style w:type="character" w:customStyle="1" w:styleId="196">
    <w:name w:val="A1"/>
    <w:qFormat/>
    <w:uiPriority w:val="99"/>
    <w:rPr>
      <w:rFonts w:cs="DFPHei Std W5"/>
      <w:color w:val="FFFFFF"/>
      <w:sz w:val="40"/>
      <w:szCs w:val="40"/>
    </w:rPr>
  </w:style>
  <w:style w:type="character" w:customStyle="1" w:styleId="197">
    <w:name w:val="标题 字符1"/>
    <w:basedOn w:val="96"/>
    <w:qFormat/>
    <w:uiPriority w:val="10"/>
    <w:rPr>
      <w:rFonts w:ascii="等线 Light" w:hAnsi="等线 Light" w:eastAsia="等线 Light" w:cs="Times New Roman"/>
      <w:b/>
      <w:bCs/>
      <w:sz w:val="32"/>
      <w:szCs w:val="32"/>
    </w:rPr>
  </w:style>
  <w:style w:type="character" w:customStyle="1" w:styleId="198">
    <w:name w:val="副标题 字符1"/>
    <w:basedOn w:val="96"/>
    <w:qFormat/>
    <w:uiPriority w:val="11"/>
    <w:rPr>
      <w:b/>
      <w:bCs/>
      <w:kern w:val="28"/>
      <w:sz w:val="32"/>
      <w:szCs w:val="32"/>
    </w:rPr>
  </w:style>
  <w:style w:type="paragraph" w:customStyle="1" w:styleId="199">
    <w:name w:val="Char Char Char Char Char Char Char"/>
    <w:basedOn w:val="1"/>
    <w:qFormat/>
    <w:uiPriority w:val="0"/>
    <w:pPr>
      <w:tabs>
        <w:tab w:val="left" w:pos="360"/>
      </w:tabs>
      <w:ind w:left="360" w:hanging="360"/>
    </w:pPr>
  </w:style>
  <w:style w:type="paragraph" w:customStyle="1" w:styleId="200">
    <w:name w:val="Default"/>
    <w:qFormat/>
    <w:uiPriority w:val="0"/>
    <w:pPr>
      <w:widowControl w:val="0"/>
      <w:autoSpaceDE w:val="0"/>
      <w:autoSpaceDN w:val="0"/>
      <w:adjustRightInd w:val="0"/>
    </w:pPr>
    <w:rPr>
      <w:rFonts w:ascii="DFPHei Std W9" w:hAnsi="Times New Roman" w:eastAsia="DFPHei Std W9" w:cs="DFPHei Std W9"/>
      <w:color w:val="000000"/>
      <w:sz w:val="24"/>
      <w:szCs w:val="24"/>
      <w:lang w:val="en-US" w:eastAsia="zh-CN" w:bidi="ar-SA"/>
    </w:rPr>
  </w:style>
  <w:style w:type="table" w:customStyle="1" w:styleId="201">
    <w:name w:val="网格型2"/>
    <w:basedOn w:val="8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2">
    <w:name w:val="标题 字符2"/>
    <w:basedOn w:val="96"/>
    <w:qFormat/>
    <w:uiPriority w:val="10"/>
    <w:rPr>
      <w:rFonts w:asciiTheme="majorHAnsi" w:hAnsiTheme="majorHAnsi" w:eastAsiaTheme="majorEastAsia" w:cstheme="majorBidi"/>
      <w:b/>
      <w:bCs/>
      <w:sz w:val="32"/>
      <w:szCs w:val="32"/>
    </w:rPr>
  </w:style>
  <w:style w:type="character" w:customStyle="1" w:styleId="203">
    <w:name w:val="副标题 字符2"/>
    <w:basedOn w:val="96"/>
    <w:qFormat/>
    <w:uiPriority w:val="11"/>
    <w:rPr>
      <w:b/>
      <w:bCs/>
      <w:kern w:val="28"/>
      <w:sz w:val="32"/>
      <w:szCs w:val="32"/>
    </w:rPr>
  </w:style>
  <w:style w:type="table" w:customStyle="1" w:styleId="204">
    <w:name w:val="网格型3"/>
    <w:basedOn w:val="8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5">
    <w:name w:val="Placeholder Text"/>
    <w:basedOn w:val="96"/>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15.wmf"/><Relationship Id="rId35" Type="http://schemas.openxmlformats.org/officeDocument/2006/relationships/oleObject" Target="embeddings/oleObject14.bin"/><Relationship Id="rId34" Type="http://schemas.openxmlformats.org/officeDocument/2006/relationships/image" Target="media/image14.wmf"/><Relationship Id="rId33" Type="http://schemas.openxmlformats.org/officeDocument/2006/relationships/oleObject" Target="embeddings/oleObject13.bin"/><Relationship Id="rId32" Type="http://schemas.openxmlformats.org/officeDocument/2006/relationships/image" Target="media/image13.wmf"/><Relationship Id="rId31" Type="http://schemas.openxmlformats.org/officeDocument/2006/relationships/oleObject" Target="embeddings/oleObject12.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1.wmf"/><Relationship Id="rId27" Type="http://schemas.openxmlformats.org/officeDocument/2006/relationships/oleObject" Target="embeddings/oleObject10.bin"/><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86DD4-FCDD-4C91-900C-D7BC426E2D4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2675</Words>
  <Characters>3152</Characters>
  <Lines>41</Lines>
  <Paragraphs>11</Paragraphs>
  <TotalTime>1033</TotalTime>
  <ScaleCrop>false</ScaleCrop>
  <LinksUpToDate>false</LinksUpToDate>
  <CharactersWithSpaces>3466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2025-04-24T00:29:00Z</dcterms:created>
  <dc:creator>崔宏恩</dc:creator>
  <cp:lastModifiedBy>Bruis Kim</cp:lastModifiedBy>
  <cp:lastPrinted>2025-05-04T10:49:00Z</cp:lastPrinted>
  <dcterms:modified xsi:type="dcterms:W3CDTF">2025-09-15T14:45:01Z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CA8FA14336444422A728D31442075916_12</vt:lpwstr>
  </property>
  <property fmtid="{D5CDD505-2E9C-101B-9397-08002B2CF9AE}" pid="4" name="KSOTemplateDocerSaveRecord">
    <vt:lpwstr>eyJoZGlkIjoiMzEwNTM5NzYwMDRjMzkwZTVkZjY2ODkwMGIxNGU0OTUiLCJ1c2VySWQiOiI1ODE2NTg3NjIifQ==</vt:lpwstr>
  </property>
</Properties>
</file>